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ageBreakBefore w:val="0"/>
        <w:kinsoku/>
        <w:wordWrap/>
        <w:overflowPunct/>
        <w:topLinePunct w:val="0"/>
        <w:autoSpaceDE/>
        <w:autoSpaceDN/>
        <w:bidi w:val="0"/>
        <w:adjustRightInd/>
        <w:snapToGrid/>
        <w:spacing w:line="360" w:lineRule="auto"/>
        <w:ind w:left="0" w:firstLine="0" w:firstLineChars="0"/>
        <w:jc w:val="center"/>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成都工业学院宜宾产教融合实训基地建设项目（</w:t>
      </w:r>
      <w:r>
        <w:rPr>
          <w:rFonts w:hint="eastAsia" w:ascii="黑体" w:hAnsi="黑体" w:eastAsia="黑体" w:cs="黑体"/>
          <w:b/>
          <w:sz w:val="32"/>
          <w:szCs w:val="32"/>
          <w:lang w:val="en-US" w:eastAsia="zh-CN"/>
        </w:rPr>
        <w:t>一期</w:t>
      </w:r>
      <w:r>
        <w:rPr>
          <w:rFonts w:hint="eastAsia" w:ascii="黑体" w:hAnsi="黑体" w:eastAsia="黑体" w:cs="黑体"/>
          <w:b/>
          <w:sz w:val="32"/>
          <w:szCs w:val="32"/>
          <w:lang w:eastAsia="zh-CN"/>
        </w:rPr>
        <w:t>）</w:t>
      </w:r>
    </w:p>
    <w:p>
      <w:pPr>
        <w:pageBreakBefore w:val="0"/>
        <w:kinsoku/>
        <w:wordWrap/>
        <w:overflowPunct/>
        <w:topLinePunct w:val="0"/>
        <w:autoSpaceDE/>
        <w:autoSpaceDN/>
        <w:bidi w:val="0"/>
        <w:adjustRightInd/>
        <w:snapToGrid/>
        <w:spacing w:line="360" w:lineRule="auto"/>
        <w:ind w:left="0" w:firstLine="0" w:firstLineChars="0"/>
        <w:jc w:val="center"/>
        <w:textAlignment w:val="auto"/>
        <w:rPr>
          <w:rFonts w:hint="eastAsia" w:ascii="黑体" w:hAnsi="黑体" w:eastAsia="黑体" w:cs="黑体"/>
          <w:b/>
          <w:bCs w:val="0"/>
          <w:sz w:val="56"/>
          <w:szCs w:val="56"/>
          <w:lang w:eastAsia="zh-CN"/>
        </w:rPr>
      </w:pPr>
      <w:r>
        <w:rPr>
          <w:rFonts w:hint="eastAsia" w:ascii="黑体" w:hAnsi="黑体" w:eastAsia="黑体" w:cs="黑体"/>
          <w:b/>
          <w:bCs w:val="0"/>
          <w:sz w:val="56"/>
          <w:szCs w:val="56"/>
        </w:rPr>
        <w:t>竣工环境保护验收监测报告</w:t>
      </w:r>
      <w:r>
        <w:rPr>
          <w:rFonts w:hint="eastAsia" w:ascii="黑体" w:hAnsi="黑体" w:eastAsia="黑体" w:cs="黑体"/>
          <w:b/>
          <w:bCs w:val="0"/>
          <w:sz w:val="56"/>
          <w:szCs w:val="56"/>
          <w:lang w:eastAsia="zh-CN"/>
        </w:rPr>
        <w:t>表</w:t>
      </w:r>
    </w:p>
    <w:p>
      <w:pPr>
        <w:pageBreakBefore w:val="0"/>
        <w:kinsoku/>
        <w:wordWrap/>
        <w:overflowPunct/>
        <w:topLinePunct w:val="0"/>
        <w:autoSpaceDE/>
        <w:autoSpaceDN/>
        <w:bidi w:val="0"/>
        <w:adjustRightInd/>
        <w:snapToGrid/>
        <w:spacing w:line="360" w:lineRule="auto"/>
        <w:ind w:left="0" w:firstLine="0" w:firstLineChars="0"/>
        <w:jc w:val="center"/>
        <w:textAlignment w:val="auto"/>
        <w:rPr>
          <w:rFonts w:hint="default" w:ascii="Times New Roman" w:hAnsi="Times New Roman" w:eastAsia="仿宋_GB2312" w:cs="Times New Roman"/>
          <w:sz w:val="28"/>
        </w:rPr>
      </w:pPr>
    </w:p>
    <w:p>
      <w:pPr>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sz w:val="28"/>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outlineLvl w:val="9"/>
        <w:rPr>
          <w:rFonts w:hint="eastAsia" w:ascii="黑体" w:hAnsi="黑体" w:eastAsia="黑体" w:cs="黑体"/>
          <w:b/>
          <w:bCs/>
          <w:sz w:val="32"/>
        </w:rPr>
      </w:pPr>
      <w:r>
        <w:rPr>
          <w:rFonts w:hint="eastAsia" w:ascii="黑体" w:hAnsi="黑体" w:eastAsia="黑体" w:cs="黑体"/>
          <w:b/>
          <w:bCs/>
          <w:sz w:val="32"/>
        </w:rPr>
        <w:t>建设单位</w:t>
      </w:r>
      <w:r>
        <w:rPr>
          <w:rFonts w:hint="eastAsia" w:ascii="黑体" w:hAnsi="黑体" w:eastAsia="黑体" w:cs="黑体"/>
          <w:b/>
          <w:bCs/>
          <w:sz w:val="32"/>
          <w:lang w:eastAsia="zh-CN"/>
        </w:rPr>
        <w:t>：</w:t>
      </w:r>
      <w:r>
        <w:rPr>
          <w:rFonts w:hint="eastAsia" w:ascii="黑体" w:hAnsi="黑体" w:eastAsia="黑体" w:cs="黑体"/>
          <w:b/>
          <w:bCs/>
          <w:sz w:val="32"/>
        </w:rPr>
        <w:t>宜宾市科教产业投资集团有限公司</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outlineLvl w:val="9"/>
        <w:rPr>
          <w:rFonts w:hint="eastAsia" w:ascii="黑体" w:hAnsi="黑体" w:eastAsia="黑体" w:cs="黑体"/>
          <w:b/>
          <w:bCs/>
          <w:sz w:val="32"/>
        </w:rPr>
      </w:pPr>
      <w:r>
        <w:rPr>
          <w:rFonts w:hint="eastAsia" w:ascii="黑体" w:hAnsi="黑体" w:eastAsia="黑体" w:cs="黑体"/>
          <w:b/>
          <w:bCs/>
          <w:sz w:val="32"/>
        </w:rPr>
        <w:t>编制单位：宜宾市科教产业投资集团有限公司</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outlineLvl w:val="9"/>
        <w:rPr>
          <w:rFonts w:hint="default" w:ascii="Times New Roman" w:hAnsi="Times New Roman" w:eastAsia="仿宋" w:cs="Times New Roman"/>
          <w:b/>
          <w:bCs/>
          <w:sz w:val="32"/>
        </w:rPr>
      </w:pPr>
      <w:r>
        <w:rPr>
          <w:rFonts w:hint="eastAsia" w:ascii="黑体" w:hAnsi="黑体" w:eastAsia="黑体" w:cs="黑体"/>
          <w:b/>
          <w:bCs/>
          <w:sz w:val="32"/>
          <w:lang w:eastAsia="zh-CN"/>
        </w:rPr>
        <w:t>二〇二一年</w:t>
      </w:r>
      <w:r>
        <w:rPr>
          <w:rFonts w:hint="eastAsia" w:ascii="黑体" w:hAnsi="黑体" w:eastAsia="黑体" w:cs="黑体"/>
          <w:b/>
          <w:bCs/>
          <w:sz w:val="32"/>
          <w:lang w:val="en-US" w:eastAsia="zh-CN"/>
        </w:rPr>
        <w:t>十二</w:t>
      </w:r>
      <w:r>
        <w:rPr>
          <w:rFonts w:hint="eastAsia" w:ascii="黑体" w:hAnsi="黑体" w:eastAsia="黑体" w:cs="黑体"/>
          <w:b/>
          <w:bCs/>
          <w:sz w:val="32"/>
          <w:lang w:eastAsia="zh-CN"/>
        </w:rPr>
        <w:t>月</w:t>
      </w:r>
    </w:p>
    <w:p>
      <w:pPr>
        <w:jc w:val="center"/>
        <w:rPr>
          <w:rFonts w:hint="default" w:ascii="Times New Roman" w:hAnsi="Times New Roman" w:eastAsia="华文新魏" w:cs="Times New Roman"/>
          <w:b/>
          <w:bCs/>
          <w:color w:val="auto"/>
          <w:sz w:val="36"/>
          <w:szCs w:val="36"/>
          <w:highlight w:val="none"/>
        </w:rPr>
      </w:pPr>
    </w:p>
    <w:p>
      <w:pPr>
        <w:jc w:val="center"/>
        <w:rPr>
          <w:rFonts w:hint="default" w:ascii="Times New Roman" w:hAnsi="Times New Roman" w:eastAsia="华文新魏" w:cs="Times New Roman"/>
          <w:b/>
          <w:bCs/>
          <w:color w:val="auto"/>
          <w:sz w:val="36"/>
          <w:szCs w:val="36"/>
          <w:highlight w:val="none"/>
        </w:rPr>
      </w:pPr>
    </w:p>
    <w:p>
      <w:pPr>
        <w:jc w:val="center"/>
        <w:rPr>
          <w:rFonts w:hint="default" w:ascii="Times New Roman" w:hAnsi="Times New Roman" w:eastAsia="华文新魏" w:cs="Times New Roman"/>
          <w:b/>
          <w:bCs/>
          <w:color w:val="auto"/>
          <w:sz w:val="36"/>
          <w:szCs w:val="36"/>
          <w:highlight w:val="none"/>
        </w:rPr>
      </w:pPr>
    </w:p>
    <w:p>
      <w:pPr>
        <w:jc w:val="center"/>
        <w:rPr>
          <w:rFonts w:hint="default" w:ascii="Times New Roman" w:hAnsi="Times New Roman" w:eastAsia="华文新魏" w:cs="Times New Roman"/>
          <w:b/>
          <w:bCs/>
          <w:color w:val="auto"/>
          <w:sz w:val="36"/>
          <w:szCs w:val="36"/>
          <w:highlight w:val="none"/>
        </w:rPr>
      </w:pPr>
    </w:p>
    <w:p>
      <w:pPr>
        <w:jc w:val="both"/>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br w:type="page"/>
      </w: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eastAsia="仿宋_GB2312" w:cs="Times New Roman"/>
          <w:b/>
          <w:sz w:val="28"/>
        </w:rPr>
      </w:pPr>
      <w:r>
        <w:rPr>
          <w:rFonts w:hint="default" w:ascii="Times New Roman" w:hAnsi="Times New Roman" w:eastAsia="仿宋_GB2312" w:cs="Times New Roman"/>
          <w:b/>
          <w:sz w:val="28"/>
        </w:rPr>
        <w:t>建设单位:</w:t>
      </w:r>
      <w:r>
        <w:rPr>
          <w:rFonts w:hint="default" w:ascii="Times New Roman" w:hAnsi="Times New Roman" w:eastAsia="仿宋_GB2312" w:cs="Times New Roman"/>
          <w:sz w:val="28"/>
        </w:rPr>
        <w:t xml:space="preserve"> </w:t>
      </w:r>
      <w:r>
        <w:rPr>
          <w:rFonts w:hint="default" w:ascii="Times New Roman" w:hAnsi="Times New Roman" w:eastAsia="仿宋_GB2312" w:cs="Times New Roman"/>
          <w:b/>
          <w:sz w:val="28"/>
        </w:rPr>
        <w:t>宜宾市科教产业投资集团有限公司</w:t>
      </w:r>
    </w:p>
    <w:p>
      <w:pPr>
        <w:pageBreakBefore w:val="0"/>
        <w:kinsoku/>
        <w:wordWrap/>
        <w:overflowPunct/>
        <w:topLinePunct w:val="0"/>
        <w:autoSpaceDE/>
        <w:autoSpaceDN/>
        <w:bidi w:val="0"/>
        <w:adjustRightInd/>
        <w:snapToGrid/>
        <w:spacing w:line="360" w:lineRule="auto"/>
        <w:ind w:left="0" w:firstLine="0" w:firstLineChars="0"/>
        <w:textAlignment w:val="auto"/>
        <w:rPr>
          <w:rFonts w:hint="eastAsia" w:ascii="Times New Roman" w:hAnsi="Times New Roman" w:eastAsia="仿宋_GB2312" w:cs="Times New Roman"/>
          <w:b/>
          <w:sz w:val="28"/>
          <w:lang w:eastAsia="zh-CN"/>
        </w:rPr>
      </w:pPr>
      <w:r>
        <w:rPr>
          <w:rFonts w:hint="default" w:ascii="Times New Roman" w:hAnsi="Times New Roman" w:eastAsia="仿宋_GB2312" w:cs="Times New Roman"/>
          <w:b/>
          <w:sz w:val="28"/>
        </w:rPr>
        <w:t xml:space="preserve">法人代表: </w:t>
      </w:r>
      <w:r>
        <w:rPr>
          <w:rFonts w:hint="eastAsia" w:eastAsia="仿宋_GB2312" w:cs="Times New Roman"/>
          <w:b/>
          <w:sz w:val="28"/>
          <w:lang w:eastAsia="zh-CN"/>
        </w:rPr>
        <w:t>许磊</w:t>
      </w: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eastAsia="仿宋_GB2312" w:cs="Times New Roman"/>
          <w:b/>
          <w:sz w:val="28"/>
        </w:rPr>
      </w:pPr>
      <w:r>
        <w:rPr>
          <w:rFonts w:hint="default" w:ascii="Times New Roman" w:hAnsi="Times New Roman" w:eastAsia="仿宋_GB2312" w:cs="Times New Roman"/>
          <w:b/>
          <w:sz w:val="28"/>
        </w:rPr>
        <w:t>编制单位</w:t>
      </w:r>
      <w:r>
        <w:rPr>
          <w:rFonts w:hint="eastAsia" w:ascii="Times New Roman" w:hAnsi="Times New Roman" w:eastAsia="仿宋_GB2312" w:cs="Times New Roman"/>
          <w:b/>
          <w:sz w:val="28"/>
          <w:lang w:val="en-US" w:eastAsia="zh-CN"/>
        </w:rPr>
        <w:t xml:space="preserve">: </w:t>
      </w:r>
      <w:r>
        <w:rPr>
          <w:rFonts w:hint="default" w:ascii="Times New Roman" w:hAnsi="Times New Roman" w:eastAsia="仿宋_GB2312" w:cs="Times New Roman"/>
          <w:b/>
          <w:sz w:val="28"/>
        </w:rPr>
        <w:t>宜宾市科教产业投资集团有限公司</w:t>
      </w: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eastAsia="仿宋_GB2312" w:cs="Times New Roman"/>
          <w:b/>
          <w:sz w:val="28"/>
        </w:rPr>
      </w:pPr>
      <w:r>
        <w:rPr>
          <w:rFonts w:hint="default" w:ascii="Times New Roman" w:hAnsi="Times New Roman" w:eastAsia="仿宋_GB2312" w:cs="Times New Roman"/>
          <w:b/>
          <w:sz w:val="28"/>
        </w:rPr>
        <w:t xml:space="preserve">法人代表: </w:t>
      </w:r>
      <w:r>
        <w:rPr>
          <w:rFonts w:hint="eastAsia" w:eastAsia="仿宋_GB2312" w:cs="Times New Roman"/>
          <w:b/>
          <w:sz w:val="28"/>
          <w:lang w:eastAsia="zh-CN"/>
        </w:rPr>
        <w:t>许磊</w:t>
      </w: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eastAsia="仿宋_GB2312" w:cs="Times New Roman"/>
          <w:b/>
          <w:sz w:val="28"/>
        </w:rPr>
      </w:pP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eastAsia="仿宋_GB2312" w:cs="Times New Roman"/>
          <w:b/>
          <w:sz w:val="28"/>
        </w:rPr>
      </w:pPr>
    </w:p>
    <w:p>
      <w:pPr>
        <w:pStyle w:val="9"/>
        <w:rPr>
          <w:rFonts w:hint="default" w:ascii="Times New Roman" w:hAnsi="Times New Roman" w:eastAsia="仿宋_GB2312" w:cs="Times New Roman"/>
          <w:b/>
          <w:sz w:val="28"/>
        </w:rPr>
      </w:pPr>
    </w:p>
    <w:p>
      <w:pPr>
        <w:pStyle w:val="9"/>
        <w:rPr>
          <w:rFonts w:hint="default" w:ascii="Times New Roman" w:hAnsi="Times New Roman" w:eastAsia="仿宋_GB2312" w:cs="Times New Roman"/>
          <w:b/>
          <w:sz w:val="28"/>
        </w:rPr>
      </w:pPr>
    </w:p>
    <w:p>
      <w:pPr>
        <w:pStyle w:val="9"/>
        <w:rPr>
          <w:rFonts w:hint="default" w:ascii="Times New Roman" w:hAnsi="Times New Roman" w:eastAsia="仿宋_GB2312" w:cs="Times New Roman"/>
          <w:b/>
          <w:sz w:val="28"/>
        </w:rPr>
      </w:pPr>
    </w:p>
    <w:p>
      <w:pPr>
        <w:pStyle w:val="9"/>
        <w:rPr>
          <w:rFonts w:hint="default" w:ascii="Times New Roman" w:hAnsi="Times New Roman" w:eastAsia="仿宋_GB2312" w:cs="Times New Roman"/>
          <w:b/>
          <w:sz w:val="28"/>
        </w:rPr>
      </w:pPr>
    </w:p>
    <w:p>
      <w:pPr>
        <w:pStyle w:val="9"/>
        <w:rPr>
          <w:rFonts w:hint="default" w:ascii="Times New Roman" w:hAnsi="Times New Roman" w:eastAsia="仿宋_GB2312" w:cs="Times New Roman"/>
          <w:b/>
          <w:sz w:val="28"/>
        </w:rPr>
      </w:pP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ab/>
      </w: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cs="Times New Roman"/>
        </w:rPr>
      </w:pPr>
    </w:p>
    <w:tbl>
      <w:tblPr>
        <w:tblStyle w:val="24"/>
        <w:tblpPr w:leftFromText="180" w:rightFromText="180" w:vertAnchor="text" w:horzAnchor="page" w:tblpX="980" w:tblpY="761"/>
        <w:tblOverlap w:val="never"/>
        <w:tblW w:w="10172" w:type="dxa"/>
        <w:tblInd w:w="0" w:type="dxa"/>
        <w:tblLayout w:type="fixed"/>
        <w:tblCellMar>
          <w:top w:w="0" w:type="dxa"/>
          <w:left w:w="108" w:type="dxa"/>
          <w:bottom w:w="0" w:type="dxa"/>
          <w:right w:w="108" w:type="dxa"/>
        </w:tblCellMar>
      </w:tblPr>
      <w:tblGrid>
        <w:gridCol w:w="1530"/>
        <w:gridCol w:w="3512"/>
        <w:gridCol w:w="1558"/>
        <w:gridCol w:w="3572"/>
      </w:tblGrid>
      <w:tr>
        <w:tblPrEx>
          <w:tblCellMar>
            <w:top w:w="0" w:type="dxa"/>
            <w:left w:w="108" w:type="dxa"/>
            <w:bottom w:w="0" w:type="dxa"/>
            <w:right w:w="108" w:type="dxa"/>
          </w:tblCellMar>
        </w:tblPrEx>
        <w:trPr>
          <w:trHeight w:val="845" w:hRule="atLeast"/>
        </w:trPr>
        <w:tc>
          <w:tcPr>
            <w:tcW w:w="1530" w:type="dxa"/>
            <w:vAlign w:val="top"/>
          </w:tcPr>
          <w:p>
            <w:pPr>
              <w:pageBreakBefore w:val="0"/>
              <w:kinsoku/>
              <w:wordWrap/>
              <w:overflowPunct/>
              <w:topLinePunct w:val="0"/>
              <w:autoSpaceDE/>
              <w:autoSpaceDN/>
              <w:bidi w:val="0"/>
              <w:adjustRightInd/>
              <w:snapToGrid/>
              <w:spacing w:line="240" w:lineRule="auto"/>
              <w:ind w:left="0" w:firstLine="0" w:firstLineChars="0"/>
              <w:jc w:val="both"/>
              <w:textAlignment w:val="auto"/>
              <w:rPr>
                <w:rFonts w:hint="eastAsia" w:ascii="Times New Roman" w:hAnsi="Times New Roman" w:eastAsia="仿宋" w:cs="Times New Roman"/>
                <w:lang w:val="en-US" w:eastAsia="zh-CN"/>
              </w:rPr>
            </w:pPr>
            <w:r>
              <w:rPr>
                <w:rFonts w:hint="eastAsia" w:ascii="仿宋" w:hAnsi="仿宋" w:eastAsia="仿宋" w:cs="仿宋"/>
                <w:sz w:val="28"/>
                <w:szCs w:val="28"/>
              </w:rPr>
              <w:t>建设单位</w:t>
            </w:r>
            <w:r>
              <w:rPr>
                <w:rFonts w:hint="eastAsia" w:ascii="仿宋" w:hAnsi="仿宋" w:eastAsia="仿宋" w:cs="仿宋"/>
                <w:sz w:val="28"/>
                <w:szCs w:val="28"/>
                <w:lang w:val="en-US" w:eastAsia="zh-CN"/>
              </w:rPr>
              <w:t>:</w:t>
            </w:r>
          </w:p>
        </w:tc>
        <w:tc>
          <w:tcPr>
            <w:tcW w:w="3512"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default" w:ascii="Times New Roman" w:hAnsi="Times New Roman" w:cs="Times New Roman"/>
              </w:rPr>
            </w:pPr>
            <w:r>
              <w:rPr>
                <w:rFonts w:hint="default" w:ascii="Times New Roman" w:hAnsi="Times New Roman" w:eastAsia="仿宋_GB2312" w:cs="Times New Roman"/>
                <w:spacing w:val="-20"/>
                <w:sz w:val="28"/>
              </w:rPr>
              <w:t>宜宾市科教产业投资集团有限公司</w:t>
            </w:r>
          </w:p>
        </w:tc>
        <w:tc>
          <w:tcPr>
            <w:tcW w:w="1558"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eastAsia" w:ascii="Times New Roman" w:hAnsi="Times New Roman" w:eastAsia="仿宋_GB2312" w:cs="Times New Roman"/>
                <w:lang w:val="en-US" w:eastAsia="zh-CN"/>
              </w:rPr>
            </w:pPr>
            <w:r>
              <w:rPr>
                <w:rFonts w:hint="default" w:ascii="Times New Roman" w:hAnsi="Times New Roman" w:eastAsia="仿宋_GB2312" w:cs="Times New Roman"/>
                <w:sz w:val="28"/>
              </w:rPr>
              <w:t>编制单位</w:t>
            </w:r>
            <w:r>
              <w:rPr>
                <w:rFonts w:hint="eastAsia" w:ascii="Times New Roman" w:hAnsi="Times New Roman" w:eastAsia="仿宋_GB2312" w:cs="Times New Roman"/>
                <w:sz w:val="28"/>
                <w:lang w:val="en-US" w:eastAsia="zh-CN"/>
              </w:rPr>
              <w:t>:</w:t>
            </w:r>
          </w:p>
        </w:tc>
        <w:tc>
          <w:tcPr>
            <w:tcW w:w="3572"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default" w:ascii="Times New Roman" w:hAnsi="Times New Roman" w:eastAsia="宋体" w:cs="Times New Roman"/>
                <w:lang w:eastAsia="zh-CN"/>
              </w:rPr>
            </w:pPr>
            <w:r>
              <w:rPr>
                <w:rFonts w:hint="default" w:ascii="Times New Roman" w:hAnsi="Times New Roman" w:eastAsia="仿宋_GB2312" w:cs="Times New Roman"/>
                <w:spacing w:val="-20"/>
                <w:sz w:val="28"/>
              </w:rPr>
              <w:t>宜宾市科教产业投资集团有限公司</w:t>
            </w:r>
          </w:p>
        </w:tc>
      </w:tr>
      <w:tr>
        <w:tblPrEx>
          <w:tblCellMar>
            <w:top w:w="0" w:type="dxa"/>
            <w:left w:w="108" w:type="dxa"/>
            <w:bottom w:w="0" w:type="dxa"/>
            <w:right w:w="108" w:type="dxa"/>
          </w:tblCellMar>
        </w:tblPrEx>
        <w:trPr>
          <w:trHeight w:val="444" w:hRule="atLeast"/>
        </w:trPr>
        <w:tc>
          <w:tcPr>
            <w:tcW w:w="1530" w:type="dxa"/>
            <w:vAlign w:val="top"/>
          </w:tcPr>
          <w:p>
            <w:pPr>
              <w:pageBreakBefore w:val="0"/>
              <w:kinsoku/>
              <w:wordWrap/>
              <w:overflowPunct/>
              <w:topLinePunct w:val="0"/>
              <w:autoSpaceDE/>
              <w:autoSpaceDN/>
              <w:bidi w:val="0"/>
              <w:adjustRightInd/>
              <w:snapToGrid/>
              <w:spacing w:line="240" w:lineRule="auto"/>
              <w:ind w:left="0" w:firstLine="0" w:firstLineChars="0"/>
              <w:jc w:val="both"/>
              <w:textAlignment w:val="auto"/>
              <w:rPr>
                <w:rFonts w:hint="eastAsia" w:ascii="Times New Roman" w:hAnsi="Times New Roman" w:eastAsia="仿宋_GB2312" w:cs="Times New Roman"/>
                <w:lang w:val="en-US" w:eastAsia="zh-CN"/>
              </w:rPr>
            </w:pPr>
            <w:r>
              <w:rPr>
                <w:rFonts w:hint="default" w:ascii="Times New Roman" w:hAnsi="Times New Roman" w:eastAsia="仿宋_GB2312" w:cs="Times New Roman"/>
                <w:sz w:val="28"/>
              </w:rPr>
              <w:t xml:space="preserve">电 </w:t>
            </w:r>
            <w:r>
              <w:rPr>
                <w:rFonts w:hint="eastAsia"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 xml:space="preserve"> 话</w:t>
            </w:r>
            <w:r>
              <w:rPr>
                <w:rFonts w:hint="eastAsia" w:ascii="Times New Roman" w:hAnsi="Times New Roman" w:eastAsia="仿宋_GB2312" w:cs="Times New Roman"/>
                <w:sz w:val="28"/>
                <w:lang w:val="en-US" w:eastAsia="zh-CN"/>
              </w:rPr>
              <w:t>:</w:t>
            </w:r>
          </w:p>
        </w:tc>
        <w:tc>
          <w:tcPr>
            <w:tcW w:w="3512"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18016177319</w:t>
            </w:r>
          </w:p>
        </w:tc>
        <w:tc>
          <w:tcPr>
            <w:tcW w:w="1558" w:type="dxa"/>
            <w:vAlign w:val="top"/>
          </w:tcPr>
          <w:p>
            <w:pPr>
              <w:pageBreakBefore w:val="0"/>
              <w:kinsoku/>
              <w:wordWrap/>
              <w:overflowPunct/>
              <w:topLinePunct w:val="0"/>
              <w:autoSpaceDE/>
              <w:autoSpaceDN/>
              <w:bidi w:val="0"/>
              <w:adjustRightInd/>
              <w:snapToGrid/>
              <w:spacing w:after="0" w:line="240" w:lineRule="auto"/>
              <w:ind w:left="0" w:firstLine="0" w:firstLineChars="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 xml:space="preserve">电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话</w:t>
            </w:r>
            <w:r>
              <w:rPr>
                <w:rFonts w:hint="eastAsia" w:ascii="Times New Roman" w:hAnsi="Times New Roman" w:eastAsia="仿宋_GB2312" w:cs="Times New Roman"/>
                <w:sz w:val="28"/>
                <w:szCs w:val="28"/>
                <w:lang w:val="en-US" w:eastAsia="zh-CN"/>
              </w:rPr>
              <w:t>:</w:t>
            </w:r>
          </w:p>
        </w:tc>
        <w:tc>
          <w:tcPr>
            <w:tcW w:w="3572"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default" w:ascii="Times New Roman" w:hAnsi="Times New Roman" w:cs="Times New Roman"/>
                <w:sz w:val="28"/>
                <w:szCs w:val="28"/>
              </w:rPr>
            </w:pPr>
            <w:r>
              <w:rPr>
                <w:rFonts w:hint="eastAsia" w:ascii="Times New Roman" w:hAnsi="Times New Roman" w:eastAsia="宋体" w:cs="Times New Roman"/>
                <w:sz w:val="28"/>
                <w:szCs w:val="28"/>
                <w:lang w:val="en-US" w:eastAsia="zh-CN"/>
              </w:rPr>
              <w:t>18016177319</w:t>
            </w:r>
          </w:p>
        </w:tc>
      </w:tr>
      <w:tr>
        <w:tblPrEx>
          <w:tblCellMar>
            <w:top w:w="0" w:type="dxa"/>
            <w:left w:w="108" w:type="dxa"/>
            <w:bottom w:w="0" w:type="dxa"/>
            <w:right w:w="108" w:type="dxa"/>
          </w:tblCellMar>
        </w:tblPrEx>
        <w:trPr>
          <w:trHeight w:val="420" w:hRule="atLeast"/>
        </w:trPr>
        <w:tc>
          <w:tcPr>
            <w:tcW w:w="1530" w:type="dxa"/>
            <w:vAlign w:val="top"/>
          </w:tcPr>
          <w:p>
            <w:pPr>
              <w:pageBreakBefore w:val="0"/>
              <w:kinsoku/>
              <w:wordWrap/>
              <w:overflowPunct/>
              <w:topLinePunct w:val="0"/>
              <w:autoSpaceDE/>
              <w:autoSpaceDN/>
              <w:bidi w:val="0"/>
              <w:adjustRightInd/>
              <w:snapToGrid/>
              <w:spacing w:line="240" w:lineRule="auto"/>
              <w:ind w:left="0" w:firstLine="0" w:firstLineChars="0"/>
              <w:jc w:val="both"/>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28"/>
              </w:rPr>
              <w:t xml:space="preserve">传  </w:t>
            </w:r>
            <w:r>
              <w:rPr>
                <w:rFonts w:hint="eastAsia"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真</w:t>
            </w:r>
            <w:r>
              <w:rPr>
                <w:rFonts w:hint="eastAsia" w:ascii="Times New Roman" w:hAnsi="Times New Roman" w:eastAsia="仿宋_GB2312" w:cs="Times New Roman"/>
                <w:sz w:val="28"/>
                <w:lang w:val="en-US" w:eastAsia="zh-CN"/>
              </w:rPr>
              <w:t>:</w:t>
            </w:r>
          </w:p>
        </w:tc>
        <w:tc>
          <w:tcPr>
            <w:tcW w:w="3512"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default" w:ascii="Times New Roman" w:hAnsi="Times New Roman" w:cs="Times New Roman"/>
                <w:sz w:val="28"/>
                <w:szCs w:val="28"/>
              </w:rPr>
            </w:pPr>
          </w:p>
        </w:tc>
        <w:tc>
          <w:tcPr>
            <w:tcW w:w="1558"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传</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真</w:t>
            </w:r>
            <w:r>
              <w:rPr>
                <w:rFonts w:hint="eastAsia" w:ascii="Times New Roman" w:hAnsi="Times New Roman" w:eastAsia="仿宋_GB2312" w:cs="Times New Roman"/>
                <w:sz w:val="28"/>
                <w:szCs w:val="28"/>
                <w:lang w:val="en-US" w:eastAsia="zh-CN"/>
              </w:rPr>
              <w:t>:</w:t>
            </w:r>
          </w:p>
        </w:tc>
        <w:tc>
          <w:tcPr>
            <w:tcW w:w="3572"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default" w:ascii="Times New Roman" w:hAnsi="Times New Roman" w:cs="Times New Roman"/>
                <w:sz w:val="28"/>
                <w:szCs w:val="28"/>
              </w:rPr>
            </w:pPr>
          </w:p>
        </w:tc>
      </w:tr>
      <w:tr>
        <w:tblPrEx>
          <w:tblCellMar>
            <w:top w:w="0" w:type="dxa"/>
            <w:left w:w="108" w:type="dxa"/>
            <w:bottom w:w="0" w:type="dxa"/>
            <w:right w:w="108" w:type="dxa"/>
          </w:tblCellMar>
        </w:tblPrEx>
        <w:trPr>
          <w:trHeight w:val="340" w:hRule="atLeast"/>
        </w:trPr>
        <w:tc>
          <w:tcPr>
            <w:tcW w:w="1530" w:type="dxa"/>
            <w:vAlign w:val="top"/>
          </w:tcPr>
          <w:p>
            <w:pPr>
              <w:pageBreakBefore w:val="0"/>
              <w:kinsoku/>
              <w:wordWrap/>
              <w:overflowPunct/>
              <w:topLinePunct w:val="0"/>
              <w:autoSpaceDE/>
              <w:autoSpaceDN/>
              <w:bidi w:val="0"/>
              <w:adjustRightInd/>
              <w:snapToGrid/>
              <w:spacing w:line="240" w:lineRule="auto"/>
              <w:ind w:left="0" w:firstLine="0" w:firstLineChars="0"/>
              <w:jc w:val="both"/>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28"/>
              </w:rPr>
              <w:t>邮</w:t>
            </w:r>
            <w:r>
              <w:rPr>
                <w:rFonts w:hint="eastAsia"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 xml:space="preserve">  编</w:t>
            </w:r>
            <w:r>
              <w:rPr>
                <w:rFonts w:hint="eastAsia" w:ascii="Times New Roman" w:hAnsi="Times New Roman" w:eastAsia="仿宋_GB2312" w:cs="Times New Roman"/>
                <w:sz w:val="28"/>
                <w:lang w:val="en-US" w:eastAsia="zh-CN"/>
              </w:rPr>
              <w:t>:</w:t>
            </w:r>
          </w:p>
        </w:tc>
        <w:tc>
          <w:tcPr>
            <w:tcW w:w="3512"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rPr>
              <w:t>644005</w:t>
            </w:r>
          </w:p>
        </w:tc>
        <w:tc>
          <w:tcPr>
            <w:tcW w:w="1558"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28"/>
              </w:rPr>
              <w:t xml:space="preserve">邮 </w:t>
            </w:r>
            <w:r>
              <w:rPr>
                <w:rFonts w:hint="eastAsia"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 xml:space="preserve">  编</w:t>
            </w:r>
            <w:r>
              <w:rPr>
                <w:rFonts w:hint="eastAsia" w:ascii="Times New Roman" w:hAnsi="Times New Roman" w:eastAsia="仿宋_GB2312" w:cs="Times New Roman"/>
                <w:sz w:val="28"/>
                <w:lang w:val="en-US" w:eastAsia="zh-CN"/>
              </w:rPr>
              <w:t>:</w:t>
            </w:r>
          </w:p>
        </w:tc>
        <w:tc>
          <w:tcPr>
            <w:tcW w:w="3572"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default" w:ascii="Times New Roman" w:hAnsi="Times New Roman" w:eastAsia="微软雅黑" w:cs="Times New Roman"/>
                <w:sz w:val="28"/>
                <w:szCs w:val="28"/>
                <w:lang w:val="en-US" w:eastAsia="zh-CN"/>
              </w:rPr>
            </w:pPr>
            <w:r>
              <w:rPr>
                <w:rFonts w:hint="default" w:ascii="Times New Roman" w:hAnsi="Times New Roman" w:cs="Times New Roman"/>
                <w:sz w:val="28"/>
                <w:szCs w:val="28"/>
              </w:rPr>
              <w:t>64</w:t>
            </w:r>
            <w:r>
              <w:rPr>
                <w:rFonts w:hint="eastAsia" w:ascii="Times New Roman" w:hAnsi="Times New Roman" w:cs="Times New Roman"/>
                <w:sz w:val="28"/>
                <w:szCs w:val="28"/>
                <w:lang w:val="en-US" w:eastAsia="zh-CN"/>
              </w:rPr>
              <w:t>4005</w:t>
            </w:r>
          </w:p>
        </w:tc>
      </w:tr>
      <w:tr>
        <w:tblPrEx>
          <w:tblCellMar>
            <w:top w:w="0" w:type="dxa"/>
            <w:left w:w="108" w:type="dxa"/>
            <w:bottom w:w="0" w:type="dxa"/>
            <w:right w:w="108" w:type="dxa"/>
          </w:tblCellMar>
        </w:tblPrEx>
        <w:trPr>
          <w:trHeight w:val="340" w:hRule="atLeast"/>
        </w:trPr>
        <w:tc>
          <w:tcPr>
            <w:tcW w:w="1530" w:type="dxa"/>
            <w:vAlign w:val="top"/>
          </w:tcPr>
          <w:p>
            <w:pPr>
              <w:pageBreakBefore w:val="0"/>
              <w:kinsoku/>
              <w:wordWrap/>
              <w:overflowPunct/>
              <w:topLinePunct w:val="0"/>
              <w:autoSpaceDE/>
              <w:autoSpaceDN/>
              <w:bidi w:val="0"/>
              <w:adjustRightInd/>
              <w:snapToGrid/>
              <w:spacing w:line="240" w:lineRule="auto"/>
              <w:ind w:left="0" w:firstLine="0" w:firstLineChars="0"/>
              <w:jc w:val="both"/>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28"/>
              </w:rPr>
              <w:t>地    址</w:t>
            </w:r>
            <w:r>
              <w:rPr>
                <w:rFonts w:hint="eastAsia" w:ascii="Times New Roman" w:hAnsi="Times New Roman" w:eastAsia="仿宋_GB2312" w:cs="Times New Roman"/>
                <w:sz w:val="28"/>
                <w:lang w:val="en-US" w:eastAsia="zh-CN"/>
              </w:rPr>
              <w:t>:</w:t>
            </w:r>
          </w:p>
        </w:tc>
        <w:tc>
          <w:tcPr>
            <w:tcW w:w="3512"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default" w:ascii="Times New Roman" w:hAnsi="Times New Roman" w:cs="Times New Roman"/>
              </w:rPr>
            </w:pPr>
            <w:r>
              <w:rPr>
                <w:rFonts w:hint="default" w:ascii="Times New Roman" w:hAnsi="Times New Roman" w:eastAsia="仿宋_GB2312" w:cs="Times New Roman"/>
                <w:sz w:val="28"/>
              </w:rPr>
              <w:t>宜宾临港经济技术开发区大学城内双城街道</w:t>
            </w:r>
          </w:p>
        </w:tc>
        <w:tc>
          <w:tcPr>
            <w:tcW w:w="1558"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28"/>
              </w:rPr>
              <w:t xml:space="preserve">地 </w:t>
            </w:r>
            <w:r>
              <w:rPr>
                <w:rFonts w:hint="eastAsia"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 xml:space="preserve">  址</w:t>
            </w:r>
            <w:r>
              <w:rPr>
                <w:rFonts w:hint="eastAsia" w:ascii="Times New Roman" w:hAnsi="Times New Roman" w:eastAsia="仿宋_GB2312" w:cs="Times New Roman"/>
                <w:sz w:val="28"/>
                <w:lang w:val="en-US" w:eastAsia="zh-CN"/>
              </w:rPr>
              <w:t>:</w:t>
            </w:r>
          </w:p>
        </w:tc>
        <w:tc>
          <w:tcPr>
            <w:tcW w:w="3572" w:type="dxa"/>
            <w:vAlign w:val="top"/>
          </w:tcPr>
          <w:p>
            <w:pPr>
              <w:pageBreakBefore w:val="0"/>
              <w:kinsoku/>
              <w:wordWrap/>
              <w:overflowPunct/>
              <w:topLinePunct w:val="0"/>
              <w:autoSpaceDE/>
              <w:autoSpaceDN/>
              <w:bidi w:val="0"/>
              <w:adjustRightInd/>
              <w:snapToGrid/>
              <w:spacing w:line="240" w:lineRule="auto"/>
              <w:ind w:left="0" w:firstLine="0" w:firstLineChars="0"/>
              <w:textAlignment w:val="auto"/>
              <w:rPr>
                <w:rFonts w:hint="default" w:ascii="Times New Roman" w:hAnsi="Times New Roman" w:cs="Times New Roman"/>
                <w:sz w:val="28"/>
                <w:szCs w:val="28"/>
              </w:rPr>
            </w:pPr>
            <w:r>
              <w:rPr>
                <w:rFonts w:hint="default" w:ascii="Times New Roman" w:hAnsi="Times New Roman" w:eastAsia="仿宋_GB2312" w:cs="Times New Roman"/>
                <w:sz w:val="28"/>
              </w:rPr>
              <w:t>宜宾临港经济技术开发区大学城内双城街道</w:t>
            </w:r>
          </w:p>
        </w:tc>
      </w:tr>
    </w:tbl>
    <w:p>
      <w:pPr>
        <w:spacing w:line="360" w:lineRule="auto"/>
        <w:rPr>
          <w:rFonts w:hint="default" w:ascii="Times New Roman" w:hAnsi="Times New Roman" w:eastAsia="仿宋" w:cs="Times New Roman"/>
          <w:b w:val="0"/>
          <w:bCs w:val="0"/>
          <w:color w:val="auto"/>
          <w:sz w:val="21"/>
          <w:szCs w:val="21"/>
          <w:highlight w:val="none"/>
        </w:rPr>
      </w:pPr>
    </w:p>
    <w:p>
      <w:pPr>
        <w:pStyle w:val="35"/>
        <w:ind w:left="0" w:leftChars="0" w:firstLine="0" w:firstLineChars="0"/>
        <w:jc w:val="both"/>
        <w:rPr>
          <w:rFonts w:hint="default"/>
          <w:color w:val="auto"/>
          <w:highlight w:val="none"/>
        </w:rPr>
      </w:pPr>
    </w:p>
    <w:sdt>
      <w:sdtPr>
        <w:rPr>
          <w:rFonts w:ascii="宋体" w:hAnsi="宋体" w:eastAsia="宋体" w:cstheme="minorBidi"/>
          <w:sz w:val="21"/>
          <w:szCs w:val="22"/>
          <w:lang w:val="en-US" w:eastAsia="zh-CN" w:bidi="ar-SA"/>
        </w:rPr>
        <w:id w:val="147464629"/>
        <w15:color w:val="DBDBDB"/>
        <w:docPartObj>
          <w:docPartGallery w:val="Table of Contents"/>
          <w:docPartUnique/>
        </w:docPartObj>
      </w:sdtPr>
      <w:sdtEndPr>
        <w:rPr>
          <w:rFonts w:ascii="宋体" w:hAnsi="宋体" w:eastAsia="宋体" w:cstheme="minorBidi"/>
          <w:sz w:val="21"/>
          <w:szCs w:val="2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sz w:val="21"/>
              <w:szCs w:val="22"/>
              <w:lang w:val="en-US" w:eastAsia="zh-CN" w:bidi="ar-SA"/>
            </w:rPr>
          </w:pPr>
          <w:bookmarkStart w:id="0" w:name="_Toc11214_WPSOffice_Level1"/>
          <w:bookmarkStart w:id="1" w:name="_Toc30302_WPSOffice_Level1"/>
          <w:bookmarkStart w:id="2" w:name="_Toc230_WPSOffice_Level1"/>
        </w:p>
        <w:p>
          <w:pPr>
            <w:spacing w:before="0" w:beforeLines="0" w:after="0" w:afterLines="0" w:line="240" w:lineRule="auto"/>
            <w:ind w:left="0" w:leftChars="0" w:right="0" w:rightChars="0" w:firstLine="0" w:firstLineChars="0"/>
            <w:jc w:val="center"/>
            <w:rPr>
              <w:rFonts w:ascii="宋体" w:hAnsi="宋体" w:eastAsia="宋体" w:cstheme="minorBidi"/>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sz w:val="21"/>
              <w:szCs w:val="22"/>
              <w:lang w:val="en-US" w:eastAsia="zh-CN" w:bidi="ar-SA"/>
            </w:rPr>
          </w:pPr>
        </w:p>
        <w:p>
          <w:pPr>
            <w:spacing w:before="0" w:beforeLines="0" w:after="0" w:afterLines="0" w:line="240" w:lineRule="auto"/>
            <w:ind w:left="0" w:leftChars="0" w:right="0" w:rightChars="0" w:firstLine="0" w:firstLineChars="0"/>
            <w:jc w:val="center"/>
          </w:pPr>
          <w:bookmarkStart w:id="70" w:name="_GoBack"/>
          <w:bookmarkEnd w:id="70"/>
          <w:r>
            <w:rPr>
              <w:rFonts w:ascii="宋体" w:hAnsi="宋体" w:eastAsia="宋体"/>
              <w:sz w:val="21"/>
            </w:rPr>
            <w:t>目录</w:t>
          </w:r>
        </w:p>
        <w:p>
          <w:pPr>
            <w:pStyle w:val="44"/>
            <w:tabs>
              <w:tab w:val="right" w:leader="dot" w:pos="8306"/>
            </w:tabs>
          </w:pPr>
          <w:r>
            <w:fldChar w:fldCharType="begin"/>
          </w:r>
          <w:r>
            <w:instrText xml:space="preserve">TOC \o "1-1" \h \u </w:instrText>
          </w:r>
          <w:r>
            <w:fldChar w:fldCharType="separate"/>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_Toc4578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表一</w:t>
          </w:r>
          <w:r>
            <w:rPr>
              <w:rFonts w:hint="default" w:ascii="Times New Roman" w:hAnsi="Times New Roman" w:eastAsia="宋体" w:cs="Times New Roman"/>
              <w:sz w:val="24"/>
              <w:szCs w:val="24"/>
              <w:highlight w:val="none"/>
              <w:lang w:val="en-US" w:eastAsia="zh-CN"/>
            </w:rPr>
            <w:t xml:space="preserve">  项目基本情况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_Toc4578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_Toc31267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highlight w:val="none"/>
            </w:rPr>
            <w:t>表二</w:t>
          </w:r>
          <w:r>
            <w:rPr>
              <w:rFonts w:hint="default" w:ascii="Times New Roman" w:hAnsi="Times New Roman" w:eastAsia="宋体" w:cs="Times New Roman"/>
              <w:bCs/>
              <w:sz w:val="24"/>
              <w:szCs w:val="24"/>
              <w:highlight w:val="none"/>
              <w:lang w:val="en-US" w:eastAsia="zh-CN"/>
            </w:rPr>
            <w:t xml:space="preserve">  </w:t>
          </w:r>
          <w:r>
            <w:rPr>
              <w:rFonts w:hint="default" w:ascii="Times New Roman" w:hAnsi="Times New Roman" w:eastAsia="宋体" w:cs="Times New Roman"/>
              <w:bCs/>
              <w:sz w:val="24"/>
              <w:szCs w:val="24"/>
              <w:highlight w:val="none"/>
            </w:rPr>
            <w:t>建设项目工程概况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_Toc31267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_Toc14641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表三</w:t>
          </w:r>
          <w:r>
            <w:rPr>
              <w:rFonts w:hint="default" w:ascii="Times New Roman" w:hAnsi="Times New Roman" w:eastAsia="宋体" w:cs="Times New Roman"/>
              <w:sz w:val="24"/>
              <w:szCs w:val="24"/>
              <w:highlight w:val="none"/>
              <w:lang w:val="en-US" w:eastAsia="zh-CN"/>
            </w:rPr>
            <w:t xml:space="preserve"> </w:t>
          </w:r>
          <w:r>
            <w:rPr>
              <w:rFonts w:hint="eastAsia"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主要污染物的产生、治理及排放</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_Toc14641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_Toc24327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highlight w:val="none"/>
              <w:lang w:val="en-US" w:eastAsia="zh-CN" w:bidi="ar-SA"/>
            </w:rPr>
            <w:t xml:space="preserve">表四 </w:t>
          </w:r>
          <w:r>
            <w:rPr>
              <w:rFonts w:hint="eastAsia" w:ascii="Times New Roman" w:hAnsi="Times New Roman" w:eastAsia="宋体" w:cs="Times New Roman"/>
              <w:bCs/>
              <w:sz w:val="24"/>
              <w:szCs w:val="24"/>
              <w:highlight w:val="none"/>
              <w:lang w:val="en-US" w:eastAsia="zh-CN" w:bidi="ar-SA"/>
            </w:rPr>
            <w:t xml:space="preserve"> </w:t>
          </w:r>
          <w:r>
            <w:rPr>
              <w:rFonts w:hint="default" w:ascii="Times New Roman" w:hAnsi="Times New Roman" w:eastAsia="宋体" w:cs="Times New Roman"/>
              <w:bCs/>
              <w:sz w:val="24"/>
              <w:szCs w:val="24"/>
              <w:highlight w:val="none"/>
              <w:lang w:val="en-US" w:eastAsia="zh-CN" w:bidi="ar-SA"/>
            </w:rPr>
            <w:t>建设项目环境影响报告表主要结论及审批部门审批决定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_Toc24327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_Toc9523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表五</w:t>
          </w:r>
          <w:r>
            <w:rPr>
              <w:rFonts w:hint="default" w:ascii="Times New Roman" w:hAnsi="Times New Roman" w:eastAsia="宋体" w:cs="Times New Roman"/>
              <w:sz w:val="24"/>
              <w:szCs w:val="24"/>
              <w:highlight w:val="none"/>
              <w:lang w:val="en-US" w:eastAsia="zh-CN"/>
            </w:rPr>
            <w:t xml:space="preserve"> </w:t>
          </w:r>
          <w:r>
            <w:rPr>
              <w:rFonts w:hint="eastAsia" w:ascii="Times New Roman" w:hAnsi="Times New Roman" w:eastAsia="宋体"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验收监测质量保证及质量控制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_Toc9523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_Toc18835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表六</w:t>
          </w:r>
          <w:r>
            <w:rPr>
              <w:rFonts w:hint="default" w:ascii="Times New Roman" w:hAnsi="Times New Roman" w:eastAsia="宋体" w:cs="Times New Roman"/>
              <w:sz w:val="24"/>
              <w:szCs w:val="24"/>
              <w:highlight w:val="none"/>
              <w:lang w:val="en-US" w:eastAsia="zh-CN"/>
            </w:rPr>
            <w:t xml:space="preserve">  验收监测内容</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_Toc18835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_Toc24056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highlight w:val="none"/>
            </w:rPr>
            <w:t>表七</w:t>
          </w:r>
          <w:r>
            <w:rPr>
              <w:rFonts w:hint="default" w:ascii="Times New Roman" w:hAnsi="Times New Roman" w:eastAsia="宋体" w:cs="Times New Roman"/>
              <w:bCs/>
              <w:sz w:val="24"/>
              <w:szCs w:val="24"/>
              <w:highlight w:val="none"/>
              <w:lang w:val="en-US" w:eastAsia="zh-CN"/>
            </w:rPr>
            <w:t xml:space="preserve">  验收监测结果及评价</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_Toc24056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_Toc10668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highlight w:val="none"/>
            </w:rPr>
            <w:t>表八</w:t>
          </w:r>
          <w:r>
            <w:rPr>
              <w:rFonts w:hint="default" w:ascii="Times New Roman" w:hAnsi="Times New Roman" w:eastAsia="宋体" w:cs="Times New Roman"/>
              <w:bCs/>
              <w:sz w:val="24"/>
              <w:szCs w:val="24"/>
              <w:highlight w:val="none"/>
              <w:lang w:val="en-US" w:eastAsia="zh-CN"/>
            </w:rPr>
            <w:t xml:space="preserve">  </w:t>
          </w:r>
          <w:r>
            <w:rPr>
              <w:rFonts w:hint="default" w:ascii="Times New Roman" w:hAnsi="Times New Roman" w:eastAsia="宋体" w:cs="Times New Roman"/>
              <w:bCs/>
              <w:sz w:val="24"/>
              <w:szCs w:val="24"/>
              <w:highlight w:val="none"/>
            </w:rPr>
            <w:t>验收监测结论：</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_Toc10668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_Toc17305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highlight w:val="none"/>
            </w:rPr>
            <w:t>建设项目竣工环境保护“三同时”验收登记表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_Toc17305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r>
            <w:fldChar w:fldCharType="end"/>
          </w:r>
        </w:p>
      </w:sdtContent>
    </w:sdt>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4"/>
          <w:szCs w:val="24"/>
          <w:highlight w:val="none"/>
        </w:rPr>
      </w:pPr>
      <w:bookmarkStart w:id="3" w:name="_Toc23163"/>
      <w:r>
        <w:rPr>
          <w:rFonts w:hint="default" w:ascii="Times New Roman" w:hAnsi="Times New Roman" w:eastAsia="宋体" w:cs="Times New Roman"/>
          <w:b/>
          <w:bCs/>
          <w:color w:val="auto"/>
          <w:sz w:val="24"/>
          <w:szCs w:val="24"/>
          <w:highlight w:val="none"/>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000000" w:themeColor="text1"/>
          <w:sz w:val="24"/>
          <w:szCs w:val="24"/>
          <w:highlight w:val="none"/>
          <w14:textFill>
            <w14:solidFill>
              <w14:schemeClr w14:val="tx1"/>
            </w14:solidFill>
          </w14:textFill>
        </w:rPr>
      </w:pPr>
      <w:bookmarkStart w:id="4" w:name="_Toc12441_WPSOffice_Level1"/>
      <w:bookmarkStart w:id="5" w:name="_Toc7306_WPSOffice_Level1"/>
      <w:bookmarkStart w:id="6" w:name="_Toc19285"/>
      <w:bookmarkStart w:id="7" w:name="_Toc14200_WPSOffice_Level1"/>
      <w:r>
        <w:rPr>
          <w:rFonts w:hint="default" w:ascii="Times New Roman" w:hAnsi="Times New Roman" w:eastAsia="宋体" w:cs="Times New Roman"/>
          <w:color w:val="000000" w:themeColor="text1"/>
          <w:sz w:val="24"/>
          <w:szCs w:val="24"/>
          <w:highlight w:val="none"/>
          <w14:textFill>
            <w14:solidFill>
              <w14:schemeClr w14:val="tx1"/>
            </w14:solidFill>
          </w14:textFill>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default" w:ascii="Times New Roman" w:hAnsi="Times New Roman" w:eastAsia="宋体" w:cs="Times New Roman"/>
          <w:b/>
          <w:bCs/>
          <w:color w:val="auto"/>
          <w:sz w:val="24"/>
          <w:szCs w:val="24"/>
          <w:highlight w:val="none"/>
        </w:rPr>
      </w:pPr>
      <w:bookmarkStart w:id="8" w:name="_Toc19725_WPSOffice_Level1"/>
      <w:bookmarkStart w:id="9" w:name="_Toc15229_WPSOffice_Level1"/>
      <w:bookmarkStart w:id="10" w:name="_Toc1919_WPSOffice_Level1"/>
      <w:r>
        <w:rPr>
          <w:rFonts w:hint="default" w:ascii="Times New Roman" w:hAnsi="Times New Roman" w:eastAsia="宋体" w:cs="Times New Roman"/>
          <w:b/>
          <w:bCs/>
          <w:color w:val="auto"/>
          <w:sz w:val="24"/>
          <w:szCs w:val="24"/>
          <w:highlight w:val="none"/>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4"/>
          <w:szCs w:val="24"/>
          <w:highlight w:val="none"/>
        </w:rPr>
      </w:pPr>
      <w:bookmarkStart w:id="11" w:name="_Toc20193"/>
      <w:bookmarkStart w:id="12" w:name="_Toc27160_WPSOffice_Level1"/>
      <w:bookmarkStart w:id="13" w:name="_Toc11431_WPSOffice_Level1"/>
      <w:bookmarkStart w:id="14" w:name="_Toc9089_WPSOffice_Level1"/>
      <w:r>
        <w:rPr>
          <w:rFonts w:hint="default" w:ascii="Times New Roman" w:hAnsi="Times New Roman" w:eastAsia="宋体" w:cs="Times New Roman"/>
          <w:color w:val="auto"/>
          <w:sz w:val="24"/>
          <w:szCs w:val="24"/>
          <w:highlight w:val="none"/>
        </w:rPr>
        <w:t>附图1 项目地理位置图</w:t>
      </w:r>
      <w:bookmarkEnd w:id="11"/>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4"/>
          <w:szCs w:val="24"/>
          <w:highlight w:val="none"/>
          <w:lang w:eastAsia="zh-CN"/>
        </w:rPr>
      </w:pPr>
      <w:bookmarkStart w:id="15" w:name="_Toc25442"/>
      <w:bookmarkStart w:id="16" w:name="_Toc1908_WPSOffice_Level1"/>
      <w:bookmarkStart w:id="17" w:name="_Toc21482_WPSOffice_Level1"/>
      <w:bookmarkStart w:id="18" w:name="_Toc24075_WPSOffice_Level1"/>
      <w:r>
        <w:rPr>
          <w:rFonts w:hint="default" w:ascii="Times New Roman" w:hAnsi="Times New Roman" w:eastAsia="宋体" w:cs="Times New Roman"/>
          <w:color w:val="auto"/>
          <w:sz w:val="24"/>
          <w:szCs w:val="24"/>
          <w:highlight w:val="none"/>
        </w:rPr>
        <w:t xml:space="preserve">附图2 </w:t>
      </w:r>
      <w:r>
        <w:rPr>
          <w:rFonts w:hint="default" w:ascii="Times New Roman" w:hAnsi="Times New Roman" w:eastAsia="宋体" w:cs="Times New Roman"/>
          <w:color w:val="auto"/>
          <w:sz w:val="24"/>
          <w:szCs w:val="24"/>
          <w:highlight w:val="none"/>
          <w:lang w:eastAsia="zh-CN"/>
        </w:rPr>
        <w:t>项目</w:t>
      </w:r>
      <w:r>
        <w:rPr>
          <w:rFonts w:hint="default" w:ascii="Times New Roman" w:hAnsi="Times New Roman" w:eastAsia="宋体" w:cs="Times New Roman"/>
          <w:color w:val="auto"/>
          <w:sz w:val="24"/>
          <w:szCs w:val="24"/>
          <w:highlight w:val="none"/>
        </w:rPr>
        <w:t>外环境关系</w:t>
      </w:r>
      <w:r>
        <w:rPr>
          <w:rFonts w:hint="default" w:ascii="Times New Roman" w:hAnsi="Times New Roman" w:eastAsia="宋体" w:cs="Times New Roman"/>
          <w:color w:val="auto"/>
          <w:sz w:val="24"/>
          <w:szCs w:val="24"/>
          <w:highlight w:val="none"/>
          <w:lang w:eastAsia="zh-CN"/>
        </w:rPr>
        <w:t>图</w:t>
      </w:r>
      <w:bookmarkEnd w:id="15"/>
      <w:bookmarkEnd w:id="16"/>
      <w:bookmarkEnd w:id="17"/>
      <w:bookmarkEnd w:id="18"/>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4"/>
          <w:szCs w:val="24"/>
          <w:highlight w:val="none"/>
        </w:rPr>
      </w:pPr>
      <w:bookmarkStart w:id="19" w:name="_Toc26713_WPSOffice_Level1"/>
      <w:bookmarkStart w:id="20" w:name="_Toc7449_WPSOffice_Level1"/>
      <w:bookmarkStart w:id="21" w:name="_Toc21280_WPSOffice_Level1"/>
      <w:bookmarkStart w:id="22" w:name="_Toc9252"/>
      <w:r>
        <w:rPr>
          <w:rFonts w:hint="default" w:ascii="Times New Roman" w:hAnsi="Times New Roman" w:eastAsia="宋体" w:cs="Times New Roman"/>
          <w:color w:val="auto"/>
          <w:sz w:val="24"/>
          <w:szCs w:val="24"/>
          <w:highlight w:val="none"/>
        </w:rPr>
        <w:t xml:space="preserve">附图3 </w:t>
      </w:r>
      <w:bookmarkEnd w:id="19"/>
      <w:bookmarkEnd w:id="20"/>
      <w:bookmarkEnd w:id="21"/>
      <w:bookmarkStart w:id="23" w:name="_Toc4372_WPSOffice_Level1"/>
      <w:bookmarkStart w:id="24" w:name="_Toc20599_WPSOffice_Level1"/>
      <w:r>
        <w:rPr>
          <w:rFonts w:hint="eastAsia" w:ascii="Times New Roman" w:hAnsi="Times New Roman" w:eastAsia="宋体" w:cs="Times New Roman"/>
          <w:color w:val="auto"/>
          <w:sz w:val="24"/>
          <w:szCs w:val="24"/>
          <w:highlight w:val="none"/>
          <w:lang w:val="en-US" w:eastAsia="zh-CN"/>
        </w:rPr>
        <w:t>项目总平面布置</w:t>
      </w:r>
      <w:bookmarkEnd w:id="22"/>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4"/>
          <w:szCs w:val="24"/>
          <w:highlight w:val="none"/>
          <w:lang w:val="en-US" w:eastAsia="zh-CN"/>
        </w:rPr>
      </w:pPr>
      <w:bookmarkStart w:id="25" w:name="_Toc16748_WPSOffice_Level1"/>
      <w:bookmarkStart w:id="26" w:name="_Toc5115"/>
      <w:r>
        <w:rPr>
          <w:rFonts w:hint="default" w:ascii="Times New Roman" w:hAnsi="Times New Roman" w:eastAsia="宋体" w:cs="Times New Roman"/>
          <w:color w:val="auto"/>
          <w:sz w:val="24"/>
          <w:szCs w:val="24"/>
          <w:highlight w:val="none"/>
          <w:lang w:val="en-US" w:eastAsia="zh-CN"/>
        </w:rPr>
        <w:t xml:space="preserve">附图4 </w:t>
      </w:r>
      <w:bookmarkEnd w:id="23"/>
      <w:bookmarkEnd w:id="25"/>
      <w:r>
        <w:rPr>
          <w:rFonts w:hint="default" w:ascii="Times New Roman" w:hAnsi="Times New Roman" w:eastAsia="宋体" w:cs="Times New Roman"/>
          <w:color w:val="auto"/>
          <w:sz w:val="24"/>
          <w:szCs w:val="24"/>
          <w:highlight w:val="none"/>
          <w:lang w:val="en-US" w:eastAsia="zh-CN"/>
        </w:rPr>
        <w:t>项目监测布点图</w:t>
      </w:r>
      <w:bookmarkEnd w:id="26"/>
    </w:p>
    <w:bookmarkEnd w:id="24"/>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eastAsia" w:ascii="Times New Roman" w:hAnsi="Times New Roman" w:eastAsia="宋体" w:cs="Times New Roman"/>
          <w:color w:val="auto"/>
          <w:sz w:val="24"/>
          <w:szCs w:val="24"/>
          <w:highlight w:val="none"/>
          <w:lang w:val="en-US" w:eastAsia="zh-CN"/>
        </w:rPr>
      </w:pPr>
      <w:bookmarkStart w:id="27" w:name="_Toc3805_WPSOffice_Level1"/>
      <w:bookmarkStart w:id="28" w:name="_Toc24893_WPSOffice_Level1"/>
      <w:bookmarkStart w:id="29" w:name="_Toc8860_WPSOffice_Level1"/>
      <w:bookmarkStart w:id="30" w:name="_Toc26449"/>
      <w:r>
        <w:rPr>
          <w:rFonts w:hint="default" w:ascii="Times New Roman" w:hAnsi="Times New Roman" w:eastAsia="宋体" w:cs="Times New Roman"/>
          <w:color w:val="auto"/>
          <w:sz w:val="24"/>
          <w:szCs w:val="24"/>
          <w:highlight w:val="none"/>
          <w:lang w:val="en-US" w:eastAsia="zh-CN"/>
        </w:rPr>
        <w:t xml:space="preserve">附图5 </w:t>
      </w:r>
      <w:bookmarkEnd w:id="27"/>
      <w:bookmarkEnd w:id="28"/>
      <w:bookmarkEnd w:id="29"/>
      <w:bookmarkStart w:id="31" w:name="_Toc28657_WPSOffice_Level1"/>
      <w:r>
        <w:rPr>
          <w:rFonts w:hint="eastAsia" w:ascii="Times New Roman" w:hAnsi="Times New Roman" w:eastAsia="宋体" w:cs="Times New Roman"/>
          <w:color w:val="auto"/>
          <w:sz w:val="24"/>
          <w:szCs w:val="24"/>
          <w:highlight w:val="none"/>
          <w:lang w:val="en-US" w:eastAsia="zh-CN"/>
        </w:rPr>
        <w:t>项目现状图</w:t>
      </w:r>
      <w:bookmarkEnd w:id="30"/>
      <w:bookmarkEnd w:id="31"/>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b/>
          <w:bCs/>
          <w:color w:val="auto"/>
          <w:sz w:val="24"/>
          <w:szCs w:val="24"/>
          <w:highlight w:val="none"/>
        </w:rPr>
      </w:pPr>
      <w:bookmarkStart w:id="32" w:name="_Toc23649_WPSOffice_Level1"/>
      <w:bookmarkStart w:id="33" w:name="_Toc28126_WPSOffice_Level1"/>
      <w:bookmarkStart w:id="34" w:name="_Toc6448"/>
      <w:bookmarkStart w:id="35" w:name="_Toc10634_WPSOffice_Level1"/>
      <w:r>
        <w:rPr>
          <w:rFonts w:hint="default" w:ascii="Times New Roman" w:hAnsi="Times New Roman" w:eastAsia="宋体" w:cs="Times New Roman"/>
          <w:b/>
          <w:bCs/>
          <w:color w:val="auto"/>
          <w:sz w:val="24"/>
          <w:szCs w:val="24"/>
          <w:highlight w:val="none"/>
        </w:rPr>
        <w:t>附件</w:t>
      </w:r>
      <w:bookmarkEnd w:id="32"/>
      <w:bookmarkEnd w:id="33"/>
      <w:bookmarkEnd w:id="34"/>
      <w:bookmarkEnd w:id="35"/>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4"/>
          <w:szCs w:val="24"/>
          <w:highlight w:val="none"/>
          <w:lang w:val="en-US" w:eastAsia="zh-CN"/>
        </w:rPr>
      </w:pPr>
      <w:bookmarkStart w:id="36" w:name="_Toc19454_WPSOffice_Level1"/>
      <w:bookmarkStart w:id="37" w:name="_Toc20297_WPSOffice_Level1"/>
      <w:bookmarkStart w:id="38" w:name="_Toc283"/>
      <w:bookmarkStart w:id="39" w:name="_Toc24508_WPSOffice_Level1"/>
      <w:r>
        <w:rPr>
          <w:rFonts w:hint="default" w:ascii="Times New Roman" w:hAnsi="Times New Roman" w:eastAsia="宋体" w:cs="Times New Roman"/>
          <w:color w:val="auto"/>
          <w:sz w:val="24"/>
          <w:szCs w:val="24"/>
          <w:highlight w:val="none"/>
        </w:rPr>
        <w:t>附件</w:t>
      </w: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 xml:space="preserve"> </w:t>
      </w:r>
      <w:bookmarkEnd w:id="36"/>
      <w:bookmarkEnd w:id="37"/>
      <w:r>
        <w:rPr>
          <w:rFonts w:hint="eastAsia" w:ascii="Times New Roman" w:hAnsi="Times New Roman" w:eastAsia="宋体" w:cs="Times New Roman"/>
          <w:color w:val="auto"/>
          <w:sz w:val="24"/>
          <w:szCs w:val="24"/>
          <w:highlight w:val="none"/>
          <w:lang w:val="en-US" w:eastAsia="zh-CN"/>
        </w:rPr>
        <w:t>项目立项文件</w:t>
      </w:r>
      <w:bookmarkEnd w:id="38"/>
      <w:bookmarkEnd w:id="39"/>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4"/>
          <w:szCs w:val="24"/>
          <w:highlight w:val="none"/>
          <w:lang w:val="en-US" w:eastAsia="zh-CN"/>
        </w:rPr>
      </w:pPr>
      <w:bookmarkStart w:id="40" w:name="_Toc14321_WPSOffice_Level1"/>
      <w:bookmarkStart w:id="41" w:name="_Toc27715_WPSOffice_Level1"/>
      <w:bookmarkStart w:id="42" w:name="_Toc25457_WPSOffice_Level1"/>
      <w:bookmarkStart w:id="43" w:name="_Toc28029"/>
      <w:r>
        <w:rPr>
          <w:rFonts w:hint="default" w:ascii="Times New Roman" w:hAnsi="Times New Roman" w:eastAsia="宋体" w:cs="Times New Roman"/>
          <w:color w:val="auto"/>
          <w:sz w:val="24"/>
          <w:szCs w:val="24"/>
          <w:highlight w:val="none"/>
          <w:lang w:val="en-US" w:eastAsia="zh-CN"/>
        </w:rPr>
        <w:t>附件</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 xml:space="preserve"> </w:t>
      </w:r>
      <w:bookmarkEnd w:id="40"/>
      <w:bookmarkEnd w:id="41"/>
      <w:r>
        <w:rPr>
          <w:rFonts w:hint="eastAsia" w:ascii="Times New Roman" w:hAnsi="Times New Roman" w:eastAsia="宋体" w:cs="Times New Roman"/>
          <w:color w:val="auto"/>
          <w:sz w:val="24"/>
          <w:szCs w:val="24"/>
          <w:highlight w:val="none"/>
          <w:lang w:val="en-US" w:eastAsia="zh-CN"/>
        </w:rPr>
        <w:t>项目环评批复</w:t>
      </w:r>
      <w:bookmarkEnd w:id="42"/>
      <w:bookmarkEnd w:id="43"/>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eastAsia" w:ascii="Times New Roman" w:hAnsi="Times New Roman" w:eastAsia="宋体" w:cs="Times New Roman"/>
          <w:color w:val="auto"/>
          <w:sz w:val="24"/>
          <w:szCs w:val="24"/>
          <w:highlight w:val="none"/>
          <w:lang w:val="en-US" w:eastAsia="zh-CN"/>
        </w:rPr>
      </w:pPr>
      <w:bookmarkStart w:id="44" w:name="_Toc26690"/>
      <w:r>
        <w:rPr>
          <w:rFonts w:hint="eastAsia" w:ascii="Times New Roman" w:hAnsi="Times New Roman" w:eastAsia="宋体" w:cs="Times New Roman"/>
          <w:color w:val="auto"/>
          <w:sz w:val="24"/>
          <w:szCs w:val="24"/>
          <w:highlight w:val="none"/>
          <w:lang w:val="en-US" w:eastAsia="zh-CN"/>
        </w:rPr>
        <w:t>附件3 项目验收监测报告</w:t>
      </w:r>
      <w:bookmarkEnd w:id="44"/>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附件4 危险废物处置技术合同</w:t>
      </w:r>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附件5 验收意见</w:t>
      </w:r>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附件6 专家证书</w:t>
      </w:r>
    </w:p>
    <w:p>
      <w:pPr>
        <w:spacing w:line="360" w:lineRule="auto"/>
        <w:rPr>
          <w:rFonts w:hint="default" w:ascii="Times New Roman" w:hAnsi="Times New Roman" w:eastAsia="宋体" w:cs="Times New Roman"/>
          <w:color w:val="auto"/>
          <w:sz w:val="24"/>
          <w:szCs w:val="24"/>
          <w:highlight w:val="yellow"/>
        </w:rPr>
      </w:pPr>
    </w:p>
    <w:p>
      <w:pPr>
        <w:pStyle w:val="3"/>
        <w:outlineLvl w:val="9"/>
        <w:rPr>
          <w:rFonts w:hint="default" w:ascii="Times New Roman" w:hAnsi="Times New Roman" w:eastAsia="宋体" w:cs="Times New Roman"/>
          <w:color w:val="auto"/>
          <w:sz w:val="24"/>
          <w:szCs w:val="24"/>
          <w:highlight w:val="none"/>
        </w:rPr>
        <w:sectPr>
          <w:headerReference r:id="rId4" w:type="default"/>
          <w:foot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titlePg/>
          <w:docGrid w:linePitch="360" w:charSpace="0"/>
        </w:sectPr>
      </w:pPr>
    </w:p>
    <w:p>
      <w:pPr>
        <w:pStyle w:val="3"/>
        <w:rPr>
          <w:rFonts w:hint="default" w:ascii="Times New Roman" w:hAnsi="Times New Roman" w:eastAsia="宋体" w:cs="Times New Roman"/>
          <w:color w:val="auto"/>
          <w:highlight w:val="none"/>
        </w:rPr>
      </w:pPr>
      <w:bookmarkStart w:id="45" w:name="_Toc4578"/>
      <w:r>
        <w:rPr>
          <w:rFonts w:hint="default" w:ascii="Times New Roman" w:hAnsi="Times New Roman" w:eastAsia="宋体" w:cs="Times New Roman"/>
          <w:color w:val="auto"/>
          <w:highlight w:val="none"/>
        </w:rPr>
        <w:t>表一</w:t>
      </w:r>
      <w:r>
        <w:rPr>
          <w:rFonts w:hint="eastAsia" w:ascii="Times New Roman" w:hAnsi="Times New Roman" w:eastAsia="宋体" w:cs="Times New Roman"/>
          <w:color w:val="auto"/>
          <w:highlight w:val="none"/>
          <w:lang w:val="en-US" w:eastAsia="zh-CN"/>
        </w:rPr>
        <w:t xml:space="preserve">   项目基本情况</w:t>
      </w:r>
      <w:bookmarkEnd w:id="45"/>
    </w:p>
    <w:tbl>
      <w:tblPr>
        <w:tblStyle w:val="24"/>
        <w:tblW w:w="88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251"/>
        <w:gridCol w:w="1797"/>
        <w:gridCol w:w="1189"/>
        <w:gridCol w:w="784"/>
        <w:gridCol w:w="1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建设项目名称</w:t>
            </w:r>
          </w:p>
        </w:tc>
        <w:tc>
          <w:tcPr>
            <w:tcW w:w="7182" w:type="dxa"/>
            <w:gridSpan w:val="5"/>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eastAsia" w:ascii="Times New Roman" w:hAnsi="Times New Roman" w:cs="Times New Roman" w:eastAsiaTheme="minorEastAsia"/>
                <w:color w:val="auto"/>
                <w:sz w:val="24"/>
                <w:szCs w:val="24"/>
                <w:highlight w:val="none"/>
                <w:lang w:val="en-US" w:eastAsia="zh-CN"/>
              </w:rPr>
              <w:t>成都工业学院宜宾产教融合实训基地建设项目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建设单位名称</w:t>
            </w:r>
          </w:p>
        </w:tc>
        <w:tc>
          <w:tcPr>
            <w:tcW w:w="7182" w:type="dxa"/>
            <w:gridSpan w:val="5"/>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eastAsia" w:ascii="Times New Roman" w:hAnsi="Times New Roman" w:cs="Times New Roman" w:eastAsiaTheme="minorEastAsia"/>
                <w:color w:val="auto"/>
                <w:sz w:val="24"/>
                <w:szCs w:val="24"/>
                <w:highlight w:val="none"/>
                <w:lang w:val="en-US" w:eastAsia="zh-CN"/>
              </w:rPr>
              <w:t>宜宾市科教产业投资集团有限公司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建设项目性质</w:t>
            </w:r>
          </w:p>
        </w:tc>
        <w:tc>
          <w:tcPr>
            <w:tcW w:w="7182" w:type="dxa"/>
            <w:gridSpan w:val="5"/>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eastAsia" w:ascii="微软雅黑" w:hAnsi="微软雅黑" w:cs="微软雅黑"/>
                <w:color w:val="auto"/>
                <w:sz w:val="24"/>
                <w:szCs w:val="24"/>
                <w:highlight w:val="none"/>
                <w:lang w:eastAsia="zh-CN"/>
              </w:rPr>
              <w:sym w:font="Wingdings 2" w:char="0052"/>
            </w:r>
            <w:r>
              <w:rPr>
                <w:rFonts w:hint="default" w:ascii="Times New Roman" w:hAnsi="Times New Roman" w:cs="Times New Roman" w:eastAsiaTheme="minorEastAsia"/>
                <w:color w:val="auto"/>
                <w:sz w:val="24"/>
                <w:szCs w:val="24"/>
                <w:highlight w:val="none"/>
                <w:lang w:val="en-US" w:eastAsia="zh-CN"/>
              </w:rPr>
              <w:t xml:space="preserve"> </w:t>
            </w:r>
            <w:r>
              <w:rPr>
                <w:rFonts w:hint="default" w:ascii="Times New Roman" w:hAnsi="Times New Roman" w:cs="Times New Roman" w:eastAsiaTheme="minorEastAsia"/>
                <w:color w:val="auto"/>
                <w:sz w:val="24"/>
                <w:szCs w:val="24"/>
                <w:highlight w:val="none"/>
              </w:rPr>
              <w:t xml:space="preserve">新建 </w:t>
            </w:r>
            <w:r>
              <w:rPr>
                <w:rFonts w:hint="eastAsia" w:ascii="Times New Roman" w:hAnsi="Times New Roman" w:cs="Times New Roman" w:eastAsiaTheme="minorEastAsia"/>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sym w:font="Wingdings 2" w:char="00A3"/>
            </w:r>
            <w:r>
              <w:rPr>
                <w:rFonts w:hint="default" w:ascii="Times New Roman" w:hAnsi="Times New Roman" w:cs="Times New Roman" w:eastAsiaTheme="minorEastAsia"/>
                <w:color w:val="auto"/>
                <w:sz w:val="24"/>
                <w:szCs w:val="24"/>
                <w:highlight w:val="none"/>
              </w:rPr>
              <w:t xml:space="preserve">改扩建  </w:t>
            </w:r>
            <w:r>
              <w:rPr>
                <w:rFonts w:hint="eastAsia" w:ascii="微软雅黑" w:hAnsi="微软雅黑" w:eastAsia="微软雅黑" w:cs="微软雅黑"/>
                <w:color w:val="auto"/>
                <w:sz w:val="24"/>
                <w:szCs w:val="24"/>
                <w:highlight w:val="none"/>
              </w:rPr>
              <w:t>□</w:t>
            </w:r>
            <w:r>
              <w:rPr>
                <w:rFonts w:hint="default" w:ascii="Times New Roman" w:hAnsi="Times New Roman" w:cs="Times New Roman" w:eastAsiaTheme="minorEastAsia"/>
                <w:color w:val="auto"/>
                <w:sz w:val="24"/>
                <w:szCs w:val="24"/>
                <w:highlight w:val="none"/>
              </w:rPr>
              <w:t xml:space="preserve">技改 </w:t>
            </w:r>
            <w:r>
              <w:rPr>
                <w:rFonts w:hint="eastAsia" w:ascii="Times New Roman" w:hAnsi="Times New Roman" w:cs="Times New Roman" w:eastAsiaTheme="minorEastAsia"/>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w:t>
            </w:r>
            <w:r>
              <w:rPr>
                <w:rFonts w:hint="default" w:ascii="Times New Roman" w:hAnsi="Times New Roman" w:cs="Times New Roman" w:eastAsiaTheme="minorEastAsia"/>
                <w:color w:val="auto"/>
                <w:sz w:val="24"/>
                <w:szCs w:val="24"/>
                <w:highlight w:val="none"/>
              </w:rPr>
              <w:t>迁建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建设地点</w:t>
            </w:r>
          </w:p>
        </w:tc>
        <w:tc>
          <w:tcPr>
            <w:tcW w:w="7182" w:type="dxa"/>
            <w:gridSpan w:val="5"/>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eastAsia" w:ascii="Times New Roman" w:hAnsi="Times New Roman" w:cs="Times New Roman" w:eastAsiaTheme="minorEastAsia"/>
                <w:color w:val="auto"/>
                <w:sz w:val="24"/>
                <w:szCs w:val="24"/>
                <w:highlight w:val="none"/>
                <w:lang w:val="en-US" w:eastAsia="zh-CN"/>
              </w:rPr>
              <w:t>宜宾临港经济技术开发区大学城内双城街道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主要产品名称</w:t>
            </w:r>
          </w:p>
        </w:tc>
        <w:tc>
          <w:tcPr>
            <w:tcW w:w="7182" w:type="dxa"/>
            <w:gridSpan w:val="5"/>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成都工业学院宜宾产教融合实训基地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设计生产能力</w:t>
            </w:r>
          </w:p>
        </w:tc>
        <w:tc>
          <w:tcPr>
            <w:tcW w:w="7182" w:type="dxa"/>
            <w:gridSpan w:val="5"/>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规划总建筑面积276685m</w:t>
            </w:r>
            <w:r>
              <w:rPr>
                <w:rFonts w:hint="default" w:ascii="Times New Roman" w:hAnsi="Times New Roman" w:cs="Times New Roman" w:eastAsiaTheme="minorEastAsia"/>
                <w:color w:val="auto"/>
                <w:sz w:val="24"/>
                <w:szCs w:val="24"/>
                <w:highlight w:val="none"/>
                <w:vertAlign w:val="superscript"/>
                <w:lang w:val="en-US" w:eastAsia="zh-CN"/>
              </w:rPr>
              <w:t>2</w:t>
            </w:r>
            <w:r>
              <w:rPr>
                <w:rFonts w:hint="default" w:ascii="Times New Roman" w:hAnsi="Times New Roman" w:cs="Times New Roman" w:eastAsiaTheme="minorEastAsia"/>
                <w:color w:val="auto"/>
                <w:sz w:val="24"/>
                <w:szCs w:val="24"/>
                <w:highlight w:val="none"/>
                <w:lang w:val="en-US" w:eastAsia="zh-CN"/>
              </w:rPr>
              <w:t>，占地面积319302 m</w:t>
            </w:r>
            <w:r>
              <w:rPr>
                <w:rFonts w:hint="default" w:ascii="Times New Roman" w:hAnsi="Times New Roman" w:cs="Times New Roman" w:eastAsiaTheme="minorEastAsia"/>
                <w:color w:val="auto"/>
                <w:sz w:val="24"/>
                <w:szCs w:val="24"/>
                <w:highlight w:val="none"/>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实际生产能力</w:t>
            </w:r>
          </w:p>
        </w:tc>
        <w:tc>
          <w:tcPr>
            <w:tcW w:w="7182" w:type="dxa"/>
            <w:gridSpan w:val="5"/>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规划总建筑面积276685m</w:t>
            </w:r>
            <w:r>
              <w:rPr>
                <w:rFonts w:hint="default" w:ascii="Times New Roman" w:hAnsi="Times New Roman" w:cs="Times New Roman" w:eastAsiaTheme="minorEastAsia"/>
                <w:color w:val="auto"/>
                <w:sz w:val="24"/>
                <w:szCs w:val="24"/>
                <w:highlight w:val="none"/>
                <w:vertAlign w:val="superscript"/>
                <w:lang w:val="en-US" w:eastAsia="zh-CN"/>
              </w:rPr>
              <w:t>2</w:t>
            </w:r>
            <w:r>
              <w:rPr>
                <w:rFonts w:hint="default" w:ascii="Times New Roman" w:hAnsi="Times New Roman" w:cs="Times New Roman" w:eastAsiaTheme="minorEastAsia"/>
                <w:color w:val="auto"/>
                <w:sz w:val="24"/>
                <w:szCs w:val="24"/>
                <w:highlight w:val="none"/>
                <w:lang w:val="en-US" w:eastAsia="zh-CN"/>
              </w:rPr>
              <w:t>，占地面积319302 m</w:t>
            </w:r>
            <w:r>
              <w:rPr>
                <w:rFonts w:hint="default" w:ascii="Times New Roman" w:hAnsi="Times New Roman" w:cs="Times New Roman" w:eastAsiaTheme="minorEastAsia"/>
                <w:color w:val="auto"/>
                <w:sz w:val="24"/>
                <w:szCs w:val="24"/>
                <w:highlight w:val="none"/>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建设项目环评时间</w:t>
            </w:r>
          </w:p>
        </w:tc>
        <w:tc>
          <w:tcPr>
            <w:tcW w:w="2251" w:type="dxa"/>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20</w:t>
            </w:r>
            <w:r>
              <w:rPr>
                <w:rFonts w:hint="eastAsia" w:ascii="Times New Roman" w:hAnsi="Times New Roman" w:cs="Times New Roman" w:eastAsiaTheme="minorEastAsia"/>
                <w:color w:val="auto"/>
                <w:sz w:val="24"/>
                <w:szCs w:val="24"/>
                <w:highlight w:val="none"/>
                <w:lang w:val="en-US" w:eastAsia="zh-CN"/>
              </w:rPr>
              <w:t>20</w:t>
            </w:r>
            <w:r>
              <w:rPr>
                <w:rFonts w:hint="default" w:ascii="Times New Roman" w:hAnsi="Times New Roman" w:cs="Times New Roman" w:eastAsiaTheme="minorEastAsia"/>
                <w:color w:val="auto"/>
                <w:sz w:val="24"/>
                <w:szCs w:val="24"/>
                <w:highlight w:val="none"/>
                <w:lang w:val="en-US" w:eastAsia="zh-CN"/>
              </w:rPr>
              <w:t>年</w:t>
            </w:r>
            <w:r>
              <w:rPr>
                <w:rFonts w:hint="eastAsia" w:ascii="Times New Roman" w:hAnsi="Times New Roman" w:cs="Times New Roman" w:eastAsiaTheme="minorEastAsia"/>
                <w:color w:val="auto"/>
                <w:sz w:val="24"/>
                <w:szCs w:val="24"/>
                <w:highlight w:val="none"/>
                <w:lang w:val="en-US" w:eastAsia="zh-CN"/>
              </w:rPr>
              <w:t>5</w:t>
            </w:r>
            <w:r>
              <w:rPr>
                <w:rFonts w:hint="default" w:ascii="Times New Roman" w:hAnsi="Times New Roman" w:cs="Times New Roman" w:eastAsiaTheme="minorEastAsia"/>
                <w:color w:val="auto"/>
                <w:sz w:val="24"/>
                <w:szCs w:val="24"/>
                <w:highlight w:val="none"/>
                <w:lang w:val="en-US" w:eastAsia="zh-CN"/>
              </w:rPr>
              <w:t>月</w:t>
            </w:r>
          </w:p>
        </w:tc>
        <w:tc>
          <w:tcPr>
            <w:tcW w:w="179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开工建设时间</w:t>
            </w:r>
          </w:p>
        </w:tc>
        <w:tc>
          <w:tcPr>
            <w:tcW w:w="3134" w:type="dxa"/>
            <w:gridSpan w:val="3"/>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eastAsia" w:ascii="Times New Roman" w:hAnsi="Times New Roman" w:cs="Times New Roman" w:eastAsiaTheme="minorEastAsia"/>
                <w:color w:val="auto"/>
                <w:sz w:val="24"/>
                <w:szCs w:val="24"/>
                <w:highlight w:val="none"/>
                <w:lang w:val="en-US" w:eastAsia="zh-CN"/>
              </w:rPr>
              <w:t>2020年6月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调试时间</w:t>
            </w:r>
          </w:p>
        </w:tc>
        <w:tc>
          <w:tcPr>
            <w:tcW w:w="2251" w:type="dxa"/>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eastAsia"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2021年8月</w:t>
            </w:r>
          </w:p>
        </w:tc>
        <w:tc>
          <w:tcPr>
            <w:tcW w:w="179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验收现场监测时间</w:t>
            </w:r>
          </w:p>
        </w:tc>
        <w:tc>
          <w:tcPr>
            <w:tcW w:w="3134" w:type="dxa"/>
            <w:gridSpan w:val="3"/>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eastAsia" w:ascii="Times New Roman" w:hAnsi="Times New Roman" w:cs="Times New Roman" w:eastAsiaTheme="minorEastAsia"/>
                <w:color w:val="auto"/>
                <w:sz w:val="24"/>
                <w:szCs w:val="24"/>
                <w:highlight w:val="none"/>
                <w:lang w:val="en-US" w:eastAsia="zh-CN"/>
              </w:rPr>
              <w:t>2021年11月16日-17日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环评报告表</w:t>
            </w:r>
          </w:p>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审批部门</w:t>
            </w:r>
          </w:p>
        </w:tc>
        <w:tc>
          <w:tcPr>
            <w:tcW w:w="2251" w:type="dxa"/>
            <w:vAlign w:val="center"/>
          </w:tcPr>
          <w:p>
            <w:pPr>
              <w:spacing w:after="0" w:afterLines="0"/>
              <w:jc w:val="center"/>
              <w:rPr>
                <w:rFonts w:hint="default" w:ascii="Times New Roman" w:hAnsi="Times New Roman" w:cs="Times New Roman" w:eastAsiaTheme="minorEastAsia"/>
                <w:color w:val="auto"/>
                <w:sz w:val="24"/>
                <w:szCs w:val="24"/>
                <w:highlight w:val="none"/>
                <w:lang w:eastAsia="zh-CN"/>
              </w:rPr>
            </w:pPr>
            <w:r>
              <w:rPr>
                <w:rFonts w:hint="eastAsia" w:ascii="Times New Roman" w:hAnsi="Times New Roman" w:cs="Times New Roman" w:eastAsiaTheme="minorEastAsia"/>
                <w:color w:val="auto"/>
                <w:sz w:val="24"/>
                <w:szCs w:val="24"/>
                <w:highlight w:val="none"/>
                <w:lang w:val="en-US" w:eastAsia="zh-CN"/>
              </w:rPr>
              <w:t>宜宾临港经济技术开发区生态环境和城乡发展局</w:t>
            </w:r>
          </w:p>
        </w:tc>
        <w:tc>
          <w:tcPr>
            <w:tcW w:w="179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环评报告表</w:t>
            </w:r>
          </w:p>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编制单位</w:t>
            </w:r>
          </w:p>
        </w:tc>
        <w:tc>
          <w:tcPr>
            <w:tcW w:w="3134" w:type="dxa"/>
            <w:gridSpan w:val="3"/>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eastAsia" w:ascii="Times New Roman" w:hAnsi="Times New Roman" w:cs="Times New Roman" w:eastAsiaTheme="minorEastAsia"/>
                <w:color w:val="auto"/>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环保设施设计单位</w:t>
            </w:r>
          </w:p>
        </w:tc>
        <w:tc>
          <w:tcPr>
            <w:tcW w:w="2251" w:type="dxa"/>
            <w:vAlign w:val="center"/>
          </w:tcPr>
          <w:p>
            <w:pPr>
              <w:spacing w:after="0" w:afterLines="0"/>
              <w:jc w:val="center"/>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lang w:val="en-US" w:eastAsia="zh-CN"/>
              </w:rPr>
              <w:t>/</w:t>
            </w:r>
          </w:p>
        </w:tc>
        <w:tc>
          <w:tcPr>
            <w:tcW w:w="179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环保设施施工单位</w:t>
            </w:r>
          </w:p>
        </w:tc>
        <w:tc>
          <w:tcPr>
            <w:tcW w:w="3134" w:type="dxa"/>
            <w:gridSpan w:val="3"/>
            <w:vAlign w:val="center"/>
          </w:tcPr>
          <w:p>
            <w:pPr>
              <w:spacing w:after="0" w:afterLines="0"/>
              <w:jc w:val="center"/>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投资总概算</w:t>
            </w:r>
          </w:p>
        </w:tc>
        <w:tc>
          <w:tcPr>
            <w:tcW w:w="2251" w:type="dxa"/>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eastAsia" w:ascii="Times New Roman" w:hAnsi="Times New Roman" w:cs="Times New Roman" w:eastAsiaTheme="minorEastAsia"/>
                <w:color w:val="auto"/>
                <w:sz w:val="24"/>
                <w:szCs w:val="24"/>
                <w:highlight w:val="none"/>
                <w:lang w:val="en-US" w:eastAsia="zh-CN"/>
              </w:rPr>
              <w:t>274090</w:t>
            </w:r>
            <w:r>
              <w:rPr>
                <w:rFonts w:hint="default" w:ascii="Times New Roman" w:hAnsi="Times New Roman" w:cs="Times New Roman" w:eastAsiaTheme="minorEastAsia"/>
                <w:color w:val="auto"/>
                <w:sz w:val="24"/>
                <w:szCs w:val="24"/>
                <w:highlight w:val="none"/>
                <w:lang w:val="en-US" w:eastAsia="zh-CN"/>
              </w:rPr>
              <w:t>万元</w:t>
            </w:r>
          </w:p>
        </w:tc>
        <w:tc>
          <w:tcPr>
            <w:tcW w:w="179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环保投资总</w:t>
            </w:r>
          </w:p>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概算</w:t>
            </w:r>
          </w:p>
        </w:tc>
        <w:tc>
          <w:tcPr>
            <w:tcW w:w="1189" w:type="dxa"/>
            <w:vAlign w:val="center"/>
          </w:tcPr>
          <w:p>
            <w:pPr>
              <w:spacing w:after="0" w:afterLines="0"/>
              <w:jc w:val="center"/>
              <w:rPr>
                <w:rFonts w:hint="default" w:ascii="Times New Roman" w:hAnsi="Times New Roman" w:cs="Times New Roman" w:eastAsiaTheme="minorEastAsia"/>
                <w:color w:val="auto"/>
                <w:sz w:val="24"/>
                <w:szCs w:val="24"/>
                <w:highlight w:val="none"/>
                <w:lang w:val="en-US" w:eastAsia="zh-CN"/>
              </w:rPr>
            </w:pPr>
            <w:r>
              <w:rPr>
                <w:rFonts w:hint="eastAsia" w:ascii="Times New Roman" w:hAnsi="Times New Roman" w:cs="Times New Roman" w:eastAsiaTheme="minorEastAsia"/>
                <w:color w:val="auto"/>
                <w:sz w:val="24"/>
                <w:szCs w:val="24"/>
                <w:highlight w:val="none"/>
                <w:lang w:val="en-US" w:eastAsia="zh-CN"/>
              </w:rPr>
              <w:t>192.3</w:t>
            </w:r>
            <w:r>
              <w:rPr>
                <w:rFonts w:hint="default" w:ascii="Times New Roman" w:hAnsi="Times New Roman" w:cs="Times New Roman" w:eastAsiaTheme="minorEastAsia"/>
                <w:color w:val="auto"/>
                <w:sz w:val="24"/>
                <w:szCs w:val="24"/>
                <w:highlight w:val="none"/>
                <w:lang w:val="en-US" w:eastAsia="zh-CN"/>
              </w:rPr>
              <w:t>万元</w:t>
            </w:r>
          </w:p>
        </w:tc>
        <w:tc>
          <w:tcPr>
            <w:tcW w:w="784"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比例</w:t>
            </w:r>
          </w:p>
        </w:tc>
        <w:tc>
          <w:tcPr>
            <w:tcW w:w="1161"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eastAsia" w:ascii="Times New Roman" w:hAnsi="Times New Roman" w:cs="Times New Roman" w:eastAsiaTheme="minorEastAsia"/>
                <w:color w:val="auto"/>
                <w:sz w:val="24"/>
                <w:szCs w:val="24"/>
                <w:highlight w:val="none"/>
                <w:lang w:val="en-US" w:eastAsia="zh-CN"/>
              </w:rPr>
              <w:t>0.07%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实际总概算</w:t>
            </w:r>
          </w:p>
        </w:tc>
        <w:tc>
          <w:tcPr>
            <w:tcW w:w="2251"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eastAsia" w:ascii="Times New Roman" w:hAnsi="Times New Roman" w:cs="Times New Roman" w:eastAsiaTheme="minorEastAsia"/>
                <w:color w:val="auto"/>
                <w:sz w:val="24"/>
                <w:szCs w:val="24"/>
                <w:highlight w:val="none"/>
                <w:lang w:val="en-US" w:eastAsia="zh-CN"/>
              </w:rPr>
              <w:t>100830</w:t>
            </w:r>
            <w:r>
              <w:rPr>
                <w:rFonts w:hint="default" w:ascii="Times New Roman" w:hAnsi="Times New Roman" w:cs="Times New Roman" w:eastAsiaTheme="minorEastAsia"/>
                <w:color w:val="auto"/>
                <w:sz w:val="24"/>
                <w:szCs w:val="24"/>
                <w:highlight w:val="none"/>
                <w:lang w:val="en-US" w:eastAsia="zh-CN"/>
              </w:rPr>
              <w:t>万元</w:t>
            </w:r>
          </w:p>
        </w:tc>
        <w:tc>
          <w:tcPr>
            <w:tcW w:w="179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环保投资</w:t>
            </w:r>
          </w:p>
        </w:tc>
        <w:tc>
          <w:tcPr>
            <w:tcW w:w="1189"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eastAsia" w:ascii="Times New Roman" w:hAnsi="Times New Roman" w:cs="Times New Roman" w:eastAsiaTheme="minorEastAsia"/>
                <w:color w:val="auto"/>
                <w:sz w:val="24"/>
                <w:szCs w:val="24"/>
                <w:highlight w:val="none"/>
                <w:lang w:val="en-US" w:eastAsia="zh-CN"/>
              </w:rPr>
              <w:t>192.3</w:t>
            </w:r>
            <w:r>
              <w:rPr>
                <w:rFonts w:hint="default" w:ascii="Times New Roman" w:hAnsi="Times New Roman" w:cs="Times New Roman" w:eastAsiaTheme="minorEastAsia"/>
                <w:color w:val="auto"/>
                <w:sz w:val="24"/>
                <w:szCs w:val="24"/>
                <w:highlight w:val="none"/>
                <w:lang w:val="en-US" w:eastAsia="zh-CN"/>
              </w:rPr>
              <w:t>万元</w:t>
            </w:r>
          </w:p>
        </w:tc>
        <w:tc>
          <w:tcPr>
            <w:tcW w:w="784"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比例</w:t>
            </w:r>
          </w:p>
        </w:tc>
        <w:tc>
          <w:tcPr>
            <w:tcW w:w="1161" w:type="dxa"/>
            <w:vAlign w:val="center"/>
          </w:tcPr>
          <w:p>
            <w:pPr>
              <w:spacing w:after="0" w:afterLines="0"/>
              <w:jc w:val="center"/>
              <w:rPr>
                <w:rFonts w:hint="default" w:ascii="Times New Roman" w:hAnsi="Times New Roman" w:cs="Times New Roman" w:eastAsiaTheme="minorEastAsia"/>
                <w:color w:val="auto"/>
                <w:sz w:val="24"/>
                <w:szCs w:val="24"/>
                <w:highlight w:val="none"/>
                <w:lang w:val="en-US"/>
              </w:rPr>
            </w:pPr>
            <w:r>
              <w:rPr>
                <w:rFonts w:hint="eastAsia" w:ascii="Times New Roman" w:hAnsi="Times New Roman" w:cs="Times New Roman" w:eastAsiaTheme="minorEastAsia"/>
                <w:color w:val="auto"/>
                <w:sz w:val="24"/>
                <w:szCs w:val="24"/>
                <w:highlight w:val="none"/>
                <w:lang w:val="en-US" w:eastAsia="zh-CN"/>
              </w:rPr>
              <w:t>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3" w:hRule="atLeast"/>
          <w:jc w:val="center"/>
        </w:trPr>
        <w:tc>
          <w:tcPr>
            <w:tcW w:w="1717" w:type="dxa"/>
            <w:vAlign w:val="center"/>
          </w:tcPr>
          <w:p>
            <w:pPr>
              <w:spacing w:after="0" w:afterLines="0"/>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验收监测依据</w:t>
            </w:r>
          </w:p>
        </w:tc>
        <w:tc>
          <w:tcPr>
            <w:tcW w:w="7182" w:type="dxa"/>
            <w:gridSpan w:val="5"/>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after="0" w:line="360" w:lineRule="auto"/>
              <w:ind w:right="0"/>
              <w:textAlignment w:val="auto"/>
              <w:rPr>
                <w:rFonts w:hint="eastAsia"/>
                <w:lang w:val="en-US" w:eastAsia="zh-CN"/>
              </w:rPr>
            </w:pPr>
            <w:r>
              <w:rPr>
                <w:rFonts w:hint="eastAsia"/>
                <w:lang w:val="en-US" w:eastAsia="zh-CN"/>
              </w:rPr>
              <w:t>编制依据：</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right="0" w:rightChars="0"/>
              <w:textAlignment w:val="auto"/>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b w:val="0"/>
                <w:bCs w:val="0"/>
              </w:rPr>
              <w:t>1</w:t>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《中华人民共和国环境保护法》（2015年1月1日施行）；</w:t>
            </w:r>
            <w:r>
              <w:rPr>
                <w:rFonts w:hint="eastAsia" w:asciiTheme="minorEastAsia" w:hAnsiTheme="minorEastAsia" w:eastAsiaTheme="minorEastAsia" w:cstheme="minorEastAsia"/>
                <w:b w:val="0"/>
                <w:bCs w:val="0"/>
              </w:rPr>
              <w:br w:type="textWrapping"/>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2</w:t>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《中华人民共和国水污染防治法》（2018年1月1日施行）；</w:t>
            </w:r>
            <w:r>
              <w:rPr>
                <w:rFonts w:hint="eastAsia" w:asciiTheme="minorEastAsia" w:hAnsiTheme="minorEastAsia" w:eastAsiaTheme="minorEastAsia" w:cstheme="minorEastAsia"/>
                <w:b w:val="0"/>
                <w:bCs w:val="0"/>
              </w:rPr>
              <w:br w:type="textWrapping"/>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3</w:t>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《中华人民共和国大气污染防治法》（2016年1月1日施行）；</w:t>
            </w:r>
            <w:r>
              <w:rPr>
                <w:rFonts w:hint="eastAsia" w:asciiTheme="minorEastAsia" w:hAnsiTheme="minorEastAsia" w:eastAsiaTheme="minorEastAsia" w:cstheme="minorEastAsia"/>
                <w:b w:val="0"/>
                <w:bCs w:val="0"/>
              </w:rPr>
              <w:br w:type="textWrapping"/>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4</w:t>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《中华人民共和国环境噪声污染防治法》（1997年3月1日施行）；</w:t>
            </w:r>
            <w:r>
              <w:rPr>
                <w:rFonts w:hint="eastAsia" w:asciiTheme="minorEastAsia" w:hAnsiTheme="minorEastAsia" w:eastAsiaTheme="minorEastAsia" w:cstheme="minorEastAsia"/>
                <w:b w:val="0"/>
                <w:bCs w:val="0"/>
              </w:rPr>
              <w:br w:type="textWrapping"/>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5</w:t>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《中华人民共和国固体废物污染环境防治法》（2016年11月7日修改）；</w:t>
            </w:r>
            <w:r>
              <w:rPr>
                <w:rFonts w:hint="eastAsia" w:asciiTheme="minorEastAsia" w:hAnsiTheme="minorEastAsia" w:eastAsiaTheme="minorEastAsia" w:cstheme="minorEastAsia"/>
                <w:b w:val="0"/>
                <w:bCs w:val="0"/>
              </w:rPr>
              <w:br w:type="textWrapping"/>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6</w:t>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《国务院关于修改&lt;建设项目环境保护管理条例&gt;的决定》（国务院令第682号）2017.7.16；</w:t>
            </w:r>
          </w:p>
          <w:p>
            <w:pPr>
              <w:keepNext w:val="0"/>
              <w:keepLines w:val="0"/>
              <w:pageBreakBefore w:val="0"/>
              <w:widowControl/>
              <w:kinsoku/>
              <w:wordWrap/>
              <w:overflowPunct/>
              <w:topLinePunct w:val="0"/>
              <w:autoSpaceDE/>
              <w:autoSpaceDN/>
              <w:bidi w:val="0"/>
              <w:adjustRightInd w:val="0"/>
              <w:snapToGrid w:val="0"/>
              <w:spacing w:after="0" w:line="360" w:lineRule="auto"/>
              <w:ind w:right="0"/>
              <w:textAlignment w:val="auto"/>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7</w:t>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lang w:val="en-US" w:eastAsia="zh-CN"/>
              </w:rPr>
              <w:t xml:space="preserve"> </w:t>
            </w:r>
            <w:r>
              <w:rPr>
                <w:rFonts w:hint="eastAsia" w:asciiTheme="minorEastAsia" w:hAnsiTheme="minorEastAsia" w:eastAsiaTheme="minorEastAsia" w:cstheme="minorEastAsia"/>
                <w:b w:val="0"/>
                <w:bCs w:val="0"/>
              </w:rPr>
              <w:t>《建设项目竣工环境保护验收暂行办法》的公告（国环规环评[2017]4号）2017.11.20；</w:t>
            </w:r>
          </w:p>
          <w:p>
            <w:pPr>
              <w:keepNext w:val="0"/>
              <w:keepLines w:val="0"/>
              <w:pageBreakBefore w:val="0"/>
              <w:widowControl/>
              <w:kinsoku/>
              <w:wordWrap/>
              <w:overflowPunct/>
              <w:topLinePunct w:val="0"/>
              <w:autoSpaceDE/>
              <w:autoSpaceDN/>
              <w:bidi w:val="0"/>
              <w:adjustRightInd w:val="0"/>
              <w:snapToGrid w:val="0"/>
              <w:spacing w:after="0" w:line="360" w:lineRule="auto"/>
              <w:ind w:right="0"/>
              <w:textAlignment w:val="auto"/>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lang w:val="en-US" w:eastAsia="zh-CN"/>
              </w:rPr>
              <w:t>（8）</w:t>
            </w:r>
            <w:r>
              <w:rPr>
                <w:rFonts w:hint="eastAsia" w:asciiTheme="minorEastAsia" w:hAnsiTheme="minorEastAsia" w:eastAsiaTheme="minorEastAsia" w:cstheme="minorEastAsia"/>
                <w:b w:val="0"/>
                <w:bCs w:val="0"/>
              </w:rPr>
              <w:t>生态环境部关于发布《建设项目竣工环境保护验收技术指南 污染影响类》的公告 （公告 2018年 第9号）2018.5.15；</w:t>
            </w:r>
          </w:p>
          <w:p>
            <w:pPr>
              <w:pStyle w:val="47"/>
              <w:keepNext w:val="0"/>
              <w:keepLines w:val="0"/>
              <w:pageBreakBefore w:val="0"/>
              <w:widowControl/>
              <w:kinsoku/>
              <w:wordWrap/>
              <w:overflowPunct/>
              <w:topLinePunct w:val="0"/>
              <w:autoSpaceDE/>
              <w:autoSpaceDN/>
              <w:bidi w:val="0"/>
              <w:adjustRightInd w:val="0"/>
              <w:snapToGrid w:val="0"/>
              <w:spacing w:after="0" w:line="360" w:lineRule="auto"/>
              <w:ind w:right="0"/>
              <w:jc w:val="both"/>
              <w:textAlignment w:val="auto"/>
              <w:rPr>
                <w:rFonts w:hint="default"/>
              </w:rPr>
            </w:pPr>
            <w:r>
              <w:rPr>
                <w:rFonts w:hint="eastAsia"/>
                <w:b w:val="0"/>
                <w:bCs w:val="0"/>
                <w:lang w:val="en-US" w:eastAsia="zh-CN"/>
              </w:rPr>
              <w:t>（</w:t>
            </w:r>
            <w:r>
              <w:rPr>
                <w:rFonts w:hint="default"/>
                <w:b w:val="0"/>
                <w:bCs w:val="0"/>
                <w:lang w:val="en-US" w:eastAsia="zh-CN"/>
              </w:rPr>
              <w:t>9</w:t>
            </w:r>
            <w:r>
              <w:rPr>
                <w:rFonts w:hint="eastAsia"/>
                <w:b w:val="0"/>
                <w:bCs w:val="0"/>
                <w:lang w:val="en-US" w:eastAsia="zh-CN"/>
              </w:rPr>
              <w:t>）</w:t>
            </w:r>
            <w:r>
              <w:rPr>
                <w:rFonts w:hint="default"/>
                <w:b w:val="0"/>
                <w:bCs w:val="0"/>
              </w:rPr>
              <w:t>《</w:t>
            </w:r>
            <w:r>
              <w:rPr>
                <w:rFonts w:hint="eastAsia"/>
                <w:b w:val="0"/>
                <w:bCs w:val="0"/>
                <w:lang w:eastAsia="zh-CN"/>
              </w:rPr>
              <w:t>成都工业学院宜宾产教融合实训基地建设项目环境影</w:t>
            </w:r>
            <w:r>
              <w:rPr>
                <w:rFonts w:hint="eastAsia"/>
                <w:lang w:eastAsia="zh-CN"/>
              </w:rPr>
              <w:t>响报告表</w:t>
            </w:r>
            <w:r>
              <w:rPr>
                <w:rFonts w:hint="default"/>
              </w:rPr>
              <w:t>》</w:t>
            </w:r>
            <w:r>
              <w:rPr>
                <w:rFonts w:hint="default"/>
                <w:lang w:eastAsia="zh-CN"/>
              </w:rPr>
              <w:t>（</w:t>
            </w:r>
            <w:r>
              <w:rPr>
                <w:rFonts w:hint="eastAsia"/>
                <w:lang w:val="en-US" w:eastAsia="zh-CN"/>
              </w:rPr>
              <w:t>2020.5）</w:t>
            </w:r>
            <w:r>
              <w:rPr>
                <w:rFonts w:hint="default"/>
              </w:rPr>
              <w:t>；</w:t>
            </w:r>
            <w:bookmarkStart w:id="46" w:name="OLE_LINK1"/>
          </w:p>
          <w:bookmarkEnd w:id="46"/>
          <w:p>
            <w:pPr>
              <w:pStyle w:val="9"/>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sz w:val="22"/>
                <w:szCs w:val="22"/>
                <w:lang w:val="en-US" w:eastAsia="zh-CN"/>
              </w:rPr>
            </w:pPr>
            <w:r>
              <w:rPr>
                <w:rFonts w:hint="eastAsia"/>
                <w:sz w:val="22"/>
                <w:szCs w:val="22"/>
              </w:rPr>
              <w:t>（</w:t>
            </w:r>
            <w:r>
              <w:rPr>
                <w:rFonts w:hint="eastAsia"/>
                <w:sz w:val="22"/>
                <w:szCs w:val="22"/>
                <w:lang w:val="en-US" w:eastAsia="zh-CN"/>
              </w:rPr>
              <w:t>10</w:t>
            </w:r>
            <w:r>
              <w:rPr>
                <w:rFonts w:hint="eastAsia"/>
                <w:sz w:val="22"/>
                <w:szCs w:val="22"/>
              </w:rPr>
              <w:t>）</w:t>
            </w:r>
            <w:r>
              <w:rPr>
                <w:rFonts w:hint="eastAsia"/>
                <w:sz w:val="22"/>
                <w:szCs w:val="22"/>
                <w:lang w:val="en-US" w:eastAsia="zh-CN"/>
              </w:rPr>
              <w:t>《关于对宜宾市科教产业投资集团有限公司成都工业学院宜宾产教融合实训基地建设项目环境影响报告表的批复》（宜宾临港经济技术开发区生态环境和城乡发展局）2020.5</w:t>
            </w:r>
          </w:p>
          <w:p>
            <w:pPr>
              <w:pStyle w:val="9"/>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9"/>
              <w:rPr>
                <w:rFonts w:hint="eastAsia"/>
                <w:sz w:val="22"/>
                <w:szCs w:val="22"/>
              </w:rPr>
            </w:pPr>
            <w:r>
              <w:rPr>
                <w:rFonts w:hint="eastAsia"/>
                <w:sz w:val="22"/>
                <w:szCs w:val="22"/>
              </w:rPr>
              <w:t>（</w:t>
            </w:r>
            <w:r>
              <w:rPr>
                <w:rFonts w:hint="eastAsia"/>
                <w:sz w:val="22"/>
                <w:szCs w:val="22"/>
                <w:lang w:val="en-US" w:eastAsia="zh-CN"/>
              </w:rPr>
              <w:t>11</w:t>
            </w:r>
            <w:r>
              <w:rPr>
                <w:rFonts w:hint="eastAsia"/>
                <w:sz w:val="22"/>
                <w:szCs w:val="22"/>
              </w:rPr>
              <w:t>）企业提供的其他资料。</w:t>
            </w:r>
          </w:p>
          <w:p>
            <w:pPr>
              <w:pStyle w:val="6"/>
              <w:spacing w:line="360" w:lineRule="auto"/>
              <w:ind w:left="0" w:leftChars="0" w:firstLine="0" w:firstLineChars="0"/>
              <w:rPr>
                <w:rFonts w:hint="default" w:cs="Times New Roman" w:eastAsiaTheme="minorEastAsia"/>
                <w:b/>
                <w:bCs/>
                <w:color w:val="auto"/>
                <w:spacing w:val="-9"/>
                <w:sz w:val="22"/>
                <w:szCs w:val="21"/>
                <w:highlight w:val="none"/>
                <w:lang w:val="en-US" w:eastAsia="zh-CN"/>
              </w:rPr>
            </w:pPr>
            <w:r>
              <w:rPr>
                <w:rFonts w:hint="eastAsia" w:cs="Times New Roman" w:eastAsiaTheme="minorEastAsia"/>
                <w:b/>
                <w:bCs/>
                <w:color w:val="auto"/>
                <w:spacing w:val="-9"/>
                <w:sz w:val="22"/>
                <w:szCs w:val="21"/>
                <w:highlight w:val="none"/>
                <w:lang w:val="en-US" w:eastAsia="zh-CN"/>
              </w:rPr>
              <w:t>2、项目概况</w:t>
            </w:r>
          </w:p>
          <w:p>
            <w:pPr>
              <w:keepNext w:val="0"/>
              <w:keepLines w:val="0"/>
              <w:pageBreakBefore w:val="0"/>
              <w:widowControl/>
              <w:kinsoku/>
              <w:wordWrap/>
              <w:overflowPunct/>
              <w:topLinePunct w:val="0"/>
              <w:bidi w:val="0"/>
              <w:adjustRightInd w:val="0"/>
              <w:snapToGrid w:val="0"/>
              <w:spacing w:after="0" w:line="360" w:lineRule="auto"/>
              <w:ind w:left="440" w:leftChars="200"/>
              <w:textAlignment w:val="auto"/>
              <w:outlineLvl w:val="9"/>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项目名称：成都工业学院宜宾产教融合实训基地建设项目</w:t>
            </w:r>
          </w:p>
          <w:p>
            <w:pPr>
              <w:keepNext w:val="0"/>
              <w:keepLines w:val="0"/>
              <w:pageBreakBefore w:val="0"/>
              <w:widowControl/>
              <w:kinsoku/>
              <w:wordWrap/>
              <w:overflowPunct/>
              <w:topLinePunct w:val="0"/>
              <w:bidi w:val="0"/>
              <w:adjustRightInd w:val="0"/>
              <w:snapToGrid w:val="0"/>
              <w:spacing w:after="0" w:line="360" w:lineRule="auto"/>
              <w:ind w:firstLine="440" w:firstLineChars="200"/>
              <w:textAlignment w:val="auto"/>
              <w:outlineLvl w:val="9"/>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建设地点：宜宾临港经济技术开发区大学城内双城街道（东经104.693828°，北纬28.828847°）</w:t>
            </w:r>
          </w:p>
          <w:p>
            <w:pPr>
              <w:keepNext w:val="0"/>
              <w:keepLines w:val="0"/>
              <w:pageBreakBefore w:val="0"/>
              <w:widowControl/>
              <w:kinsoku/>
              <w:wordWrap/>
              <w:overflowPunct/>
              <w:topLinePunct w:val="0"/>
              <w:bidi w:val="0"/>
              <w:adjustRightInd w:val="0"/>
              <w:snapToGrid w:val="0"/>
              <w:spacing w:after="0" w:line="360" w:lineRule="auto"/>
              <w:ind w:firstLine="440" w:firstLineChars="200"/>
              <w:textAlignment w:val="auto"/>
              <w:outlineLvl w:val="9"/>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项目性质：新建</w:t>
            </w:r>
          </w:p>
          <w:p>
            <w:pPr>
              <w:keepNext w:val="0"/>
              <w:keepLines w:val="0"/>
              <w:pageBreakBefore w:val="0"/>
              <w:widowControl/>
              <w:kinsoku/>
              <w:wordWrap/>
              <w:overflowPunct/>
              <w:topLinePunct w:val="0"/>
              <w:bidi w:val="0"/>
              <w:adjustRightInd w:val="0"/>
              <w:snapToGrid w:val="0"/>
              <w:spacing w:after="0" w:line="360" w:lineRule="auto"/>
              <w:ind w:firstLine="440" w:firstLineChars="200"/>
              <w:textAlignment w:val="auto"/>
              <w:outlineLvl w:val="9"/>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建设单位：宜宾市科教产业投资集团有限公司</w:t>
            </w:r>
          </w:p>
          <w:p>
            <w:pPr>
              <w:keepNext w:val="0"/>
              <w:keepLines w:val="0"/>
              <w:pageBreakBefore w:val="0"/>
              <w:widowControl/>
              <w:kinsoku/>
              <w:wordWrap/>
              <w:overflowPunct/>
              <w:topLinePunct w:val="0"/>
              <w:bidi w:val="0"/>
              <w:adjustRightInd w:val="0"/>
              <w:snapToGrid w:val="0"/>
              <w:spacing w:after="0" w:line="360" w:lineRule="auto"/>
              <w:ind w:firstLine="440" w:firstLineChars="200"/>
              <w:textAlignment w:val="auto"/>
              <w:outlineLvl w:val="9"/>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项目投资：本项目总投资274090万元</w:t>
            </w:r>
          </w:p>
          <w:p>
            <w:pPr>
              <w:keepNext w:val="0"/>
              <w:keepLines w:val="0"/>
              <w:pageBreakBefore w:val="0"/>
              <w:widowControl/>
              <w:kinsoku/>
              <w:wordWrap/>
              <w:overflowPunct/>
              <w:topLinePunct w:val="0"/>
              <w:bidi w:val="0"/>
              <w:adjustRightInd w:val="0"/>
              <w:snapToGrid w:val="0"/>
              <w:spacing w:after="0" w:line="360" w:lineRule="auto"/>
              <w:ind w:firstLine="440" w:firstLineChars="200"/>
              <w:textAlignment w:val="auto"/>
              <w:outlineLvl w:val="9"/>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总建筑面积：276685平方米</w:t>
            </w:r>
          </w:p>
          <w:p>
            <w:pPr>
              <w:keepNext w:val="0"/>
              <w:keepLines w:val="0"/>
              <w:pageBreakBefore w:val="0"/>
              <w:widowControl/>
              <w:kinsoku/>
              <w:wordWrap/>
              <w:overflowPunct/>
              <w:topLinePunct w:val="0"/>
              <w:autoSpaceDE w:val="0"/>
              <w:autoSpaceDN w:val="0"/>
              <w:bidi w:val="0"/>
              <w:adjustRightInd w:val="0"/>
              <w:snapToGrid w:val="0"/>
              <w:spacing w:after="0" w:line="360" w:lineRule="auto"/>
              <w:ind w:firstLine="440" w:firstLineChars="200"/>
              <w:jc w:val="left"/>
              <w:textAlignment w:val="auto"/>
              <w:outlineLvl w:val="9"/>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办学规模：学生共5300人，教职工约700人</w:t>
            </w:r>
          </w:p>
          <w:p>
            <w:pPr>
              <w:keepNext w:val="0"/>
              <w:keepLines w:val="0"/>
              <w:pageBreakBefore w:val="0"/>
              <w:widowControl/>
              <w:kinsoku/>
              <w:wordWrap/>
              <w:overflowPunct/>
              <w:topLinePunct w:val="0"/>
              <w:bidi w:val="0"/>
              <w:adjustRightInd w:val="0"/>
              <w:snapToGrid w:val="0"/>
              <w:spacing w:after="0" w:line="360" w:lineRule="auto"/>
              <w:ind w:firstLine="440" w:firstLineChars="200"/>
              <w:textAlignment w:val="auto"/>
              <w:outlineLvl w:val="9"/>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建设内容：本项目规划净用地面积为499.5亩，规划总建筑面积为276685m</w:t>
            </w:r>
            <w:r>
              <w:rPr>
                <w:rFonts w:hint="eastAsia" w:ascii="宋体" w:hAnsi="宋体" w:eastAsia="宋体" w:cs="宋体"/>
                <w:sz w:val="22"/>
                <w:szCs w:val="22"/>
                <w:vertAlign w:val="superscript"/>
                <w:lang w:val="en-US" w:eastAsia="zh-CN" w:bidi="zh-CN"/>
              </w:rPr>
              <w:t>2</w:t>
            </w:r>
            <w:r>
              <w:rPr>
                <w:rFonts w:hint="eastAsia" w:ascii="宋体" w:hAnsi="宋体" w:eastAsia="宋体" w:cs="宋体"/>
                <w:sz w:val="22"/>
                <w:szCs w:val="22"/>
                <w:lang w:val="en-US" w:eastAsia="zh-CN" w:bidi="zh-CN"/>
              </w:rPr>
              <w:t>，其中地上建筑面积264385m</w:t>
            </w:r>
            <w:r>
              <w:rPr>
                <w:rFonts w:hint="eastAsia" w:ascii="宋体" w:hAnsi="宋体" w:eastAsia="宋体" w:cs="宋体"/>
                <w:sz w:val="22"/>
                <w:szCs w:val="22"/>
                <w:vertAlign w:val="superscript"/>
                <w:lang w:val="en-US" w:eastAsia="zh-CN" w:bidi="zh-CN"/>
              </w:rPr>
              <w:t>2</w:t>
            </w:r>
            <w:r>
              <w:rPr>
                <w:rFonts w:hint="eastAsia" w:ascii="宋体" w:hAnsi="宋体" w:eastAsia="宋体" w:cs="宋体"/>
                <w:sz w:val="22"/>
                <w:szCs w:val="22"/>
                <w:lang w:val="en-US" w:eastAsia="zh-CN" w:bidi="zh-CN"/>
              </w:rPr>
              <w:t>，地下建筑面积约为12300m</w:t>
            </w:r>
            <w:r>
              <w:rPr>
                <w:rFonts w:hint="eastAsia" w:ascii="宋体" w:hAnsi="宋体" w:eastAsia="宋体" w:cs="宋体"/>
                <w:sz w:val="22"/>
                <w:szCs w:val="22"/>
                <w:vertAlign w:val="superscript"/>
                <w:lang w:val="en-US" w:eastAsia="zh-CN" w:bidi="zh-CN"/>
              </w:rPr>
              <w:t>2</w:t>
            </w:r>
            <w:r>
              <w:rPr>
                <w:rFonts w:hint="eastAsia" w:ascii="宋体" w:hAnsi="宋体" w:eastAsia="宋体" w:cs="宋体"/>
                <w:sz w:val="22"/>
                <w:szCs w:val="22"/>
                <w:lang w:val="en-US" w:eastAsia="zh-CN" w:bidi="zh-CN"/>
              </w:rPr>
              <w:t>。工程建设包括教学楼、实验楼、图书馆、学生活动中心、体育训练中心、学生宿舍、学生食堂、教师周转房、交流中心、科研中心及地下停车库（含设备用房）等，同时配套建设道路、绿化等基础配套设施和环保设施。计划入驻师生规模为6000人。</w:t>
            </w:r>
          </w:p>
          <w:p>
            <w:pPr>
              <w:pStyle w:val="6"/>
              <w:spacing w:line="360" w:lineRule="auto"/>
              <w:ind w:left="0" w:leftChars="0" w:firstLine="0" w:firstLineChars="0"/>
              <w:rPr>
                <w:rFonts w:hint="eastAsia" w:asciiTheme="minorEastAsia" w:hAnsiTheme="minorEastAsia" w:eastAsiaTheme="minorEastAsia" w:cstheme="minorEastAsia"/>
                <w:b/>
                <w:bCs/>
                <w:color w:val="auto"/>
                <w:spacing w:val="-9"/>
                <w:sz w:val="22"/>
                <w:szCs w:val="21"/>
                <w:highlight w:val="none"/>
                <w:lang w:eastAsia="zh-CN"/>
              </w:rPr>
            </w:pPr>
            <w:r>
              <w:rPr>
                <w:rFonts w:hint="eastAsia" w:asciiTheme="minorEastAsia" w:hAnsiTheme="minorEastAsia" w:eastAsiaTheme="minorEastAsia" w:cstheme="minorEastAsia"/>
                <w:b/>
                <w:bCs/>
                <w:color w:val="auto"/>
                <w:spacing w:val="-9"/>
                <w:sz w:val="22"/>
                <w:szCs w:val="21"/>
                <w:highlight w:val="none"/>
                <w:lang w:eastAsia="zh-CN"/>
              </w:rPr>
              <w:t>3、验收工作由来</w:t>
            </w:r>
          </w:p>
          <w:p>
            <w:pPr>
              <w:pStyle w:val="6"/>
              <w:spacing w:line="360" w:lineRule="auto"/>
              <w:rPr>
                <w:rFonts w:hint="eastAsia" w:asciiTheme="minorEastAsia" w:hAnsiTheme="minorEastAsia" w:eastAsiaTheme="minorEastAsia" w:cstheme="minorEastAsia"/>
                <w:color w:val="auto"/>
                <w:spacing w:val="-9"/>
                <w:sz w:val="22"/>
                <w:szCs w:val="21"/>
                <w:highlight w:val="none"/>
                <w:lang w:eastAsia="zh-CN"/>
              </w:rPr>
            </w:pPr>
            <w:r>
              <w:rPr>
                <w:rFonts w:hint="eastAsia" w:asciiTheme="minorEastAsia" w:hAnsiTheme="minorEastAsia" w:eastAsiaTheme="minorEastAsia" w:cstheme="minorEastAsia"/>
                <w:color w:val="auto"/>
                <w:spacing w:val="-9"/>
                <w:sz w:val="22"/>
                <w:szCs w:val="21"/>
                <w:highlight w:val="none"/>
                <w:lang w:eastAsia="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四川瑞兴环保检测有限公司</w:t>
            </w:r>
            <w:r>
              <w:rPr>
                <w:rFonts w:hint="eastAsia" w:asciiTheme="minorEastAsia" w:hAnsiTheme="minorEastAsia" w:eastAsiaTheme="minorEastAsia" w:cstheme="minorEastAsia"/>
                <w:color w:val="auto"/>
                <w:spacing w:val="-9"/>
                <w:sz w:val="22"/>
                <w:szCs w:val="21"/>
                <w:highlight w:val="none"/>
                <w:lang w:val="en-US" w:eastAsia="zh-CN"/>
              </w:rPr>
              <w:t>受宜宾市科教产业投资集团有限公司委托，</w:t>
            </w:r>
            <w:r>
              <w:rPr>
                <w:rFonts w:hint="eastAsia" w:asciiTheme="minorEastAsia" w:hAnsiTheme="minorEastAsia" w:eastAsiaTheme="minorEastAsia" w:cstheme="minorEastAsia"/>
                <w:color w:val="auto"/>
                <w:spacing w:val="-9"/>
                <w:sz w:val="22"/>
                <w:szCs w:val="21"/>
                <w:highlight w:val="none"/>
                <w:lang w:eastAsia="zh-CN"/>
              </w:rPr>
              <w:t>组织编制成都工业学院宜宾产教融合实训基地建设项目竣工环境保护验收监测报告表编制工作。</w:t>
            </w:r>
          </w:p>
          <w:p>
            <w:pPr>
              <w:pStyle w:val="6"/>
              <w:spacing w:line="360" w:lineRule="auto"/>
              <w:rPr>
                <w:rFonts w:hint="eastAsia" w:asciiTheme="minorEastAsia" w:hAnsiTheme="minorEastAsia" w:eastAsiaTheme="minorEastAsia" w:cstheme="minorEastAsia"/>
                <w:color w:val="auto"/>
                <w:spacing w:val="-9"/>
                <w:sz w:val="22"/>
                <w:szCs w:val="21"/>
                <w:highlight w:val="none"/>
                <w:lang w:eastAsia="zh-CN"/>
              </w:rPr>
            </w:pPr>
            <w:r>
              <w:rPr>
                <w:rFonts w:hint="eastAsia" w:asciiTheme="minorEastAsia" w:hAnsiTheme="minorEastAsia" w:eastAsiaTheme="minorEastAsia" w:cstheme="minorEastAsia"/>
                <w:color w:val="auto"/>
                <w:spacing w:val="-9"/>
                <w:sz w:val="22"/>
                <w:szCs w:val="21"/>
                <w:highlight w:val="none"/>
                <w:lang w:eastAsia="zh-CN"/>
              </w:rPr>
              <w:t>编制工作人员对项目实际建设情况及周围环境状况进行了实地踏勘、资料收集，并认真研究了相关技术资料，同时对环境敏感点、环保措施的执行情况等方面进行了重点调查，</w:t>
            </w:r>
            <w:r>
              <w:rPr>
                <w:rFonts w:hint="eastAsia" w:asciiTheme="minorEastAsia" w:hAnsiTheme="minorEastAsia" w:eastAsiaTheme="minorEastAsia" w:cstheme="minorEastAsia"/>
                <w:color w:val="auto"/>
                <w:spacing w:val="-9"/>
                <w:sz w:val="22"/>
                <w:szCs w:val="21"/>
                <w:highlight w:val="none"/>
                <w:lang w:val="en-US" w:eastAsia="zh-CN"/>
              </w:rPr>
              <w:t>2021年11月16日-17日</w:t>
            </w:r>
            <w:r>
              <w:rPr>
                <w:rFonts w:hint="eastAsia" w:asciiTheme="minorEastAsia" w:hAnsiTheme="minorEastAsia" w:eastAsiaTheme="minorEastAsia" w:cstheme="minorEastAsia"/>
                <w:color w:val="auto"/>
                <w:spacing w:val="-9"/>
                <w:sz w:val="22"/>
                <w:szCs w:val="21"/>
                <w:highlight w:val="none"/>
                <w:lang w:eastAsia="zh-CN"/>
              </w:rPr>
              <w:t>开展竣工环境保护验收现场监测。</w:t>
            </w:r>
          </w:p>
          <w:p>
            <w:pPr>
              <w:pStyle w:val="6"/>
              <w:spacing w:line="360" w:lineRule="auto"/>
              <w:ind w:left="0" w:leftChars="0" w:firstLine="0" w:firstLineChars="0"/>
              <w:rPr>
                <w:rFonts w:hint="eastAsia" w:asciiTheme="minorEastAsia" w:hAnsiTheme="minorEastAsia" w:eastAsiaTheme="minorEastAsia" w:cstheme="minorEastAsia"/>
                <w:b/>
                <w:bCs/>
                <w:color w:val="auto"/>
                <w:spacing w:val="-9"/>
                <w:sz w:val="22"/>
                <w:szCs w:val="21"/>
                <w:highlight w:val="none"/>
                <w:lang w:eastAsia="zh-CN"/>
              </w:rPr>
            </w:pPr>
            <w:r>
              <w:rPr>
                <w:rFonts w:hint="eastAsia" w:asciiTheme="minorEastAsia" w:hAnsiTheme="minorEastAsia" w:eastAsiaTheme="minorEastAsia" w:cstheme="minorEastAsia"/>
                <w:b/>
                <w:bCs/>
                <w:color w:val="auto"/>
                <w:spacing w:val="-9"/>
                <w:sz w:val="22"/>
                <w:szCs w:val="21"/>
                <w:highlight w:val="none"/>
                <w:lang w:eastAsia="zh-CN"/>
              </w:rPr>
              <w:t>4、验收范围与内容</w:t>
            </w:r>
          </w:p>
          <w:p>
            <w:pPr>
              <w:pStyle w:val="6"/>
              <w:spacing w:line="360" w:lineRule="auto"/>
              <w:rPr>
                <w:rFonts w:hint="eastAsia" w:asciiTheme="minorEastAsia" w:hAnsiTheme="minorEastAsia" w:eastAsiaTheme="minorEastAsia" w:cstheme="minorEastAsia"/>
                <w:color w:val="auto"/>
                <w:spacing w:val="-9"/>
                <w:sz w:val="22"/>
                <w:szCs w:val="21"/>
                <w:highlight w:val="none"/>
                <w:lang w:eastAsia="zh-CN"/>
              </w:rPr>
            </w:pPr>
            <w:r>
              <w:rPr>
                <w:rFonts w:hint="eastAsia" w:asciiTheme="minorEastAsia" w:hAnsiTheme="minorEastAsia" w:eastAsiaTheme="minorEastAsia" w:cstheme="minorEastAsia"/>
                <w:color w:val="auto"/>
                <w:spacing w:val="-9"/>
                <w:sz w:val="22"/>
                <w:szCs w:val="21"/>
                <w:highlight w:val="none"/>
                <w:lang w:eastAsia="zh-CN"/>
              </w:rPr>
              <w:t>（1）验收范围</w:t>
            </w:r>
          </w:p>
          <w:p>
            <w:pPr>
              <w:pStyle w:val="6"/>
              <w:spacing w:line="360" w:lineRule="auto"/>
              <w:rPr>
                <w:rFonts w:hint="eastAsia" w:asciiTheme="minorEastAsia" w:hAnsiTheme="minorEastAsia" w:eastAsiaTheme="minorEastAsia" w:cstheme="minorEastAsia"/>
                <w:color w:val="auto"/>
                <w:spacing w:val="-9"/>
                <w:sz w:val="22"/>
                <w:szCs w:val="21"/>
                <w:highlight w:val="none"/>
                <w:lang w:eastAsia="zh-CN"/>
              </w:rPr>
            </w:pPr>
            <w:r>
              <w:rPr>
                <w:rFonts w:hint="eastAsia" w:asciiTheme="minorEastAsia" w:hAnsiTheme="minorEastAsia" w:eastAsiaTheme="minorEastAsia" w:cstheme="minorEastAsia"/>
                <w:color w:val="auto"/>
                <w:spacing w:val="-9"/>
                <w:sz w:val="22"/>
                <w:szCs w:val="21"/>
                <w:highlight w:val="none"/>
                <w:lang w:eastAsia="zh-CN"/>
              </w:rPr>
              <w:t>依据现场踏勘，对照环评文件及其批复文件，验收与环评阶段项目建设性质、规模、建设地点、环保设施等均未发生明显变化，以工程实际建设内容确定环保竣工验收范围。</w:t>
            </w:r>
          </w:p>
          <w:p>
            <w:pPr>
              <w:pStyle w:val="6"/>
              <w:spacing w:line="360" w:lineRule="auto"/>
              <w:rPr>
                <w:rFonts w:hint="eastAsia" w:asciiTheme="minorEastAsia" w:hAnsiTheme="minorEastAsia" w:eastAsiaTheme="minorEastAsia" w:cstheme="minorEastAsia"/>
                <w:color w:val="auto"/>
                <w:spacing w:val="-9"/>
                <w:sz w:val="22"/>
                <w:szCs w:val="21"/>
                <w:highlight w:val="none"/>
                <w:lang w:eastAsia="zh-CN"/>
              </w:rPr>
            </w:pPr>
            <w:r>
              <w:rPr>
                <w:rFonts w:hint="eastAsia" w:asciiTheme="minorEastAsia" w:hAnsiTheme="minorEastAsia" w:eastAsiaTheme="minorEastAsia" w:cstheme="minorEastAsia"/>
                <w:color w:val="auto"/>
                <w:spacing w:val="-9"/>
                <w:sz w:val="22"/>
                <w:szCs w:val="21"/>
                <w:highlight w:val="none"/>
                <w:lang w:eastAsia="zh-CN"/>
              </w:rPr>
              <w:t>（2）验收内容</w:t>
            </w:r>
          </w:p>
          <w:p>
            <w:pPr>
              <w:pStyle w:val="6"/>
              <w:spacing w:line="360" w:lineRule="auto"/>
              <w:rPr>
                <w:rFonts w:hint="eastAsia" w:asciiTheme="minorEastAsia" w:hAnsiTheme="minorEastAsia" w:eastAsiaTheme="minorEastAsia" w:cstheme="minorEastAsia"/>
                <w:color w:val="auto"/>
                <w:spacing w:val="-9"/>
                <w:sz w:val="22"/>
                <w:szCs w:val="21"/>
                <w:highlight w:val="none"/>
                <w:lang w:eastAsia="zh-CN"/>
              </w:rPr>
            </w:pPr>
            <w:r>
              <w:rPr>
                <w:rFonts w:hint="eastAsia" w:asciiTheme="minorEastAsia" w:hAnsiTheme="minorEastAsia" w:eastAsiaTheme="minorEastAsia" w:cstheme="minorEastAsia"/>
                <w:color w:val="auto"/>
                <w:spacing w:val="-9"/>
                <w:sz w:val="22"/>
                <w:szCs w:val="21"/>
                <w:highlight w:val="none"/>
                <w:lang w:eastAsia="zh-CN"/>
              </w:rPr>
              <w:t>1）工程建设内容变更情况调查；</w:t>
            </w:r>
          </w:p>
          <w:p>
            <w:pPr>
              <w:pStyle w:val="6"/>
              <w:spacing w:line="360" w:lineRule="auto"/>
              <w:rPr>
                <w:rFonts w:hint="eastAsia" w:asciiTheme="minorEastAsia" w:hAnsiTheme="minorEastAsia" w:eastAsiaTheme="minorEastAsia" w:cstheme="minorEastAsia"/>
                <w:color w:val="auto"/>
                <w:spacing w:val="-9"/>
                <w:sz w:val="22"/>
                <w:szCs w:val="21"/>
                <w:highlight w:val="none"/>
                <w:lang w:eastAsia="zh-CN"/>
              </w:rPr>
            </w:pPr>
            <w:r>
              <w:rPr>
                <w:rFonts w:hint="eastAsia" w:asciiTheme="minorEastAsia" w:hAnsiTheme="minorEastAsia" w:eastAsiaTheme="minorEastAsia" w:cstheme="minorEastAsia"/>
                <w:color w:val="auto"/>
                <w:spacing w:val="-9"/>
                <w:sz w:val="22"/>
                <w:szCs w:val="21"/>
                <w:highlight w:val="none"/>
                <w:lang w:eastAsia="zh-CN"/>
              </w:rPr>
              <w:t>2）环境敏感目标情况调查；</w:t>
            </w:r>
          </w:p>
          <w:p>
            <w:pPr>
              <w:pStyle w:val="6"/>
              <w:spacing w:line="360" w:lineRule="auto"/>
              <w:rPr>
                <w:rFonts w:hint="eastAsia" w:asciiTheme="minorEastAsia" w:hAnsiTheme="minorEastAsia" w:eastAsiaTheme="minorEastAsia" w:cstheme="minorEastAsia"/>
                <w:color w:val="auto"/>
                <w:spacing w:val="-9"/>
                <w:sz w:val="22"/>
                <w:szCs w:val="21"/>
                <w:highlight w:val="none"/>
                <w:lang w:eastAsia="zh-CN"/>
              </w:rPr>
            </w:pPr>
            <w:r>
              <w:rPr>
                <w:rFonts w:hint="eastAsia" w:asciiTheme="minorEastAsia" w:hAnsiTheme="minorEastAsia" w:eastAsiaTheme="minorEastAsia" w:cstheme="minorEastAsia"/>
                <w:color w:val="auto"/>
                <w:spacing w:val="-9"/>
                <w:sz w:val="22"/>
                <w:szCs w:val="21"/>
                <w:highlight w:val="none"/>
                <w:lang w:eastAsia="zh-CN"/>
              </w:rPr>
              <w:t>3）施工期、运营期环境影响变化情况调查；</w:t>
            </w:r>
          </w:p>
          <w:p>
            <w:pPr>
              <w:pStyle w:val="6"/>
              <w:spacing w:line="360" w:lineRule="auto"/>
              <w:rPr>
                <w:rFonts w:hint="eastAsia" w:asciiTheme="minorEastAsia" w:hAnsiTheme="minorEastAsia" w:eastAsiaTheme="minorEastAsia" w:cstheme="minorEastAsia"/>
                <w:color w:val="auto"/>
                <w:spacing w:val="-9"/>
                <w:sz w:val="22"/>
                <w:szCs w:val="21"/>
                <w:highlight w:val="none"/>
                <w:lang w:eastAsia="zh-CN"/>
              </w:rPr>
            </w:pPr>
            <w:r>
              <w:rPr>
                <w:rFonts w:hint="eastAsia" w:asciiTheme="minorEastAsia" w:hAnsiTheme="minorEastAsia" w:eastAsiaTheme="minorEastAsia" w:cstheme="minorEastAsia"/>
                <w:color w:val="auto"/>
                <w:spacing w:val="-9"/>
                <w:sz w:val="22"/>
                <w:szCs w:val="21"/>
                <w:highlight w:val="none"/>
                <w:lang w:eastAsia="zh-CN"/>
              </w:rPr>
              <w:t>4）施工期、运营期环境保护措施及环保投资落实情况调查；</w:t>
            </w:r>
          </w:p>
          <w:p>
            <w:pPr>
              <w:pStyle w:val="6"/>
              <w:spacing w:line="360" w:lineRule="auto"/>
              <w:rPr>
                <w:rFonts w:hint="default" w:asciiTheme="minorEastAsia" w:hAnsiTheme="minorEastAsia" w:eastAsiaTheme="minorEastAsia" w:cstheme="minorEastAsia"/>
                <w:color w:val="auto"/>
                <w:spacing w:val="-9"/>
                <w:sz w:val="22"/>
                <w:szCs w:val="21"/>
                <w:highlight w:val="none"/>
                <w:lang w:eastAsia="zh-CN"/>
              </w:rPr>
            </w:pPr>
            <w:r>
              <w:rPr>
                <w:rFonts w:hint="eastAsia" w:asciiTheme="minorEastAsia" w:hAnsiTheme="minorEastAsia" w:eastAsiaTheme="minorEastAsia" w:cstheme="minorEastAsia"/>
                <w:color w:val="auto"/>
                <w:spacing w:val="-9"/>
                <w:sz w:val="22"/>
                <w:szCs w:val="21"/>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25" w:hRule="atLeast"/>
          <w:jc w:val="center"/>
        </w:trPr>
        <w:tc>
          <w:tcPr>
            <w:tcW w:w="1717" w:type="dxa"/>
            <w:vAlign w:val="center"/>
          </w:tcPr>
          <w:p>
            <w:pPr>
              <w:spacing w:after="0" w:afterLines="0"/>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验收监测评价标准、标号、级别、限值</w:t>
            </w:r>
          </w:p>
        </w:tc>
        <w:tc>
          <w:tcPr>
            <w:tcW w:w="7182" w:type="dxa"/>
            <w:gridSpan w:val="5"/>
            <w:vAlign w:val="center"/>
          </w:tcPr>
          <w:p>
            <w:pPr>
              <w:pStyle w:val="47"/>
              <w:keepNext w:val="0"/>
              <w:keepLines w:val="0"/>
              <w:pageBreakBefore w:val="0"/>
              <w:widowControl/>
              <w:kinsoku/>
              <w:wordWrap/>
              <w:overflowPunct/>
              <w:topLinePunct w:val="0"/>
              <w:autoSpaceDE/>
              <w:autoSpaceDN/>
              <w:bidi w:val="0"/>
              <w:adjustRightInd w:val="0"/>
              <w:snapToGrid w:val="0"/>
              <w:spacing w:after="0" w:line="305" w:lineRule="exact"/>
              <w:textAlignment w:val="auto"/>
              <w:outlineLvl w:val="9"/>
              <w:rPr>
                <w:b/>
                <w:sz w:val="24"/>
              </w:rPr>
            </w:pPr>
            <w:r>
              <w:rPr>
                <w:b/>
                <w:sz w:val="24"/>
              </w:rPr>
              <w:t>一、环境质量标准</w:t>
            </w:r>
          </w:p>
          <w:p>
            <w:pPr>
              <w:pStyle w:val="47"/>
              <w:keepNext w:val="0"/>
              <w:keepLines w:val="0"/>
              <w:pageBreakBefore w:val="0"/>
              <w:widowControl/>
              <w:kinsoku/>
              <w:wordWrap/>
              <w:overflowPunct/>
              <w:topLinePunct w:val="0"/>
              <w:autoSpaceDE/>
              <w:autoSpaceDN/>
              <w:bidi w:val="0"/>
              <w:adjustRightInd w:val="0"/>
              <w:snapToGrid w:val="0"/>
              <w:spacing w:before="160" w:after="0"/>
              <w:ind w:left="471"/>
              <w:textAlignment w:val="auto"/>
              <w:outlineLvl w:val="9"/>
              <w:rPr>
                <w:sz w:val="24"/>
              </w:rPr>
            </w:pPr>
            <w:r>
              <w:rPr>
                <w:rFonts w:ascii="Times New Roman" w:eastAsia="Times New Roman"/>
                <w:sz w:val="24"/>
              </w:rPr>
              <w:t>1</w:t>
            </w:r>
            <w:r>
              <w:rPr>
                <w:sz w:val="24"/>
              </w:rPr>
              <w:t>、环境空气</w:t>
            </w:r>
          </w:p>
          <w:p>
            <w:pPr>
              <w:pStyle w:val="47"/>
              <w:keepNext w:val="0"/>
              <w:keepLines w:val="0"/>
              <w:pageBreakBefore w:val="0"/>
              <w:widowControl/>
              <w:kinsoku/>
              <w:wordWrap/>
              <w:overflowPunct/>
              <w:topLinePunct w:val="0"/>
              <w:autoSpaceDE/>
              <w:autoSpaceDN/>
              <w:bidi w:val="0"/>
              <w:adjustRightInd w:val="0"/>
              <w:snapToGrid w:val="0"/>
              <w:spacing w:before="161" w:after="0" w:line="362" w:lineRule="auto"/>
              <w:ind w:left="-9" w:right="-44" w:firstLine="480"/>
              <w:textAlignment w:val="auto"/>
              <w:outlineLvl w:val="9"/>
              <w:rPr>
                <w:sz w:val="24"/>
              </w:rPr>
            </w:pPr>
            <w:r>
              <w:rPr>
                <w:spacing w:val="-11"/>
                <w:sz w:val="24"/>
              </w:rPr>
              <w:t>环境空气质量执行《环境空气质量标准》</w:t>
            </w:r>
            <w:r>
              <w:rPr>
                <w:sz w:val="24"/>
              </w:rPr>
              <w:t>（</w:t>
            </w:r>
            <w:r>
              <w:rPr>
                <w:rFonts w:ascii="Times New Roman" w:eastAsia="Times New Roman"/>
                <w:sz w:val="24"/>
              </w:rPr>
              <w:t>GB3095-2012</w:t>
            </w:r>
            <w:r>
              <w:rPr>
                <w:sz w:val="24"/>
              </w:rPr>
              <w:t>）</w:t>
            </w:r>
            <w:r>
              <w:rPr>
                <w:spacing w:val="-6"/>
                <w:sz w:val="24"/>
              </w:rPr>
              <w:t xml:space="preserve">中的二级标准；详见表 </w:t>
            </w:r>
            <w:r>
              <w:rPr>
                <w:rFonts w:ascii="Times New Roman" w:eastAsia="Times New Roman"/>
                <w:sz w:val="24"/>
              </w:rPr>
              <w:t>1-1</w:t>
            </w:r>
            <w:r>
              <w:rPr>
                <w:sz w:val="24"/>
              </w:rPr>
              <w:t>。</w:t>
            </w:r>
          </w:p>
          <w:p>
            <w:pPr>
              <w:pStyle w:val="47"/>
              <w:keepNext w:val="0"/>
              <w:keepLines w:val="0"/>
              <w:pageBreakBefore w:val="0"/>
              <w:widowControl/>
              <w:tabs>
                <w:tab w:val="left" w:pos="856"/>
              </w:tabs>
              <w:kinsoku/>
              <w:wordWrap/>
              <w:overflowPunct/>
              <w:topLinePunct w:val="0"/>
              <w:autoSpaceDE/>
              <w:autoSpaceDN/>
              <w:bidi w:val="0"/>
              <w:adjustRightInd w:val="0"/>
              <w:snapToGrid w:val="0"/>
              <w:spacing w:before="3" w:after="0"/>
              <w:ind w:right="87"/>
              <w:jc w:val="center"/>
              <w:textAlignment w:val="auto"/>
              <w:outlineLvl w:val="9"/>
            </w:pPr>
            <w:r>
              <w:rPr>
                <w:b/>
                <w:sz w:val="21"/>
              </w:rPr>
              <w:t>表</w:t>
            </w:r>
            <w:r>
              <w:rPr>
                <w:b/>
                <w:spacing w:val="-55"/>
                <w:sz w:val="21"/>
              </w:rPr>
              <w:t xml:space="preserve"> </w:t>
            </w:r>
            <w:r>
              <w:rPr>
                <w:rFonts w:ascii="Times New Roman" w:eastAsia="Times New Roman"/>
                <w:b/>
                <w:sz w:val="21"/>
              </w:rPr>
              <w:t>1-1</w:t>
            </w:r>
            <w:r>
              <w:rPr>
                <w:rFonts w:ascii="Times New Roman" w:eastAsia="Times New Roman"/>
                <w:b/>
                <w:sz w:val="21"/>
              </w:rPr>
              <w:tab/>
            </w:r>
            <w:r>
              <w:rPr>
                <w:b/>
                <w:sz w:val="21"/>
              </w:rPr>
              <w:t>环境空气质量标准节选</w:t>
            </w:r>
          </w:p>
          <w:tbl>
            <w:tblPr>
              <w:tblStyle w:val="24"/>
              <w:tblW w:w="698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29"/>
              <w:gridCol w:w="749"/>
              <w:gridCol w:w="633"/>
              <w:gridCol w:w="814"/>
              <w:gridCol w:w="716"/>
              <w:gridCol w:w="719"/>
              <w:gridCol w:w="722"/>
              <w:gridCol w:w="702"/>
              <w:gridCol w:w="69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1229" w:type="dxa"/>
                  <w:vAlign w:val="center"/>
                </w:tcPr>
                <w:p>
                  <w:pPr>
                    <w:pStyle w:val="60"/>
                    <w:rPr>
                      <w:rFonts w:ascii="Times New Roman" w:hAnsi="Times New Roman" w:eastAsia="宋体"/>
                      <w:sz w:val="21"/>
                      <w:szCs w:val="21"/>
                    </w:rPr>
                  </w:pPr>
                  <w:r>
                    <w:rPr>
                      <w:rFonts w:ascii="Times New Roman" w:hAnsi="Times New Roman" w:eastAsia="宋体"/>
                      <w:sz w:val="21"/>
                      <w:szCs w:val="21"/>
                    </w:rPr>
                    <w:t>取值时段</w:t>
                  </w:r>
                </w:p>
              </w:tc>
              <w:tc>
                <w:tcPr>
                  <w:tcW w:w="749" w:type="dxa"/>
                  <w:vAlign w:val="center"/>
                </w:tcPr>
                <w:p>
                  <w:pPr>
                    <w:pStyle w:val="60"/>
                    <w:rPr>
                      <w:rFonts w:ascii="Times New Roman" w:hAnsi="Times New Roman" w:eastAsia="宋体"/>
                      <w:sz w:val="21"/>
                      <w:szCs w:val="21"/>
                    </w:rPr>
                  </w:pPr>
                  <w:r>
                    <w:rPr>
                      <w:rFonts w:ascii="Times New Roman" w:hAnsi="Times New Roman" w:eastAsia="宋体"/>
                      <w:sz w:val="21"/>
                      <w:szCs w:val="21"/>
                    </w:rPr>
                    <w:t>单位</w:t>
                  </w:r>
                </w:p>
              </w:tc>
              <w:tc>
                <w:tcPr>
                  <w:tcW w:w="633" w:type="dxa"/>
                  <w:vAlign w:val="center"/>
                </w:tcPr>
                <w:p>
                  <w:pPr>
                    <w:pStyle w:val="60"/>
                    <w:rPr>
                      <w:rFonts w:ascii="Times New Roman" w:hAnsi="Times New Roman" w:eastAsia="宋体"/>
                      <w:sz w:val="21"/>
                      <w:szCs w:val="21"/>
                    </w:rPr>
                  </w:pPr>
                  <w:r>
                    <w:rPr>
                      <w:rFonts w:ascii="Times New Roman" w:hAnsi="Times New Roman" w:eastAsia="宋体"/>
                      <w:sz w:val="21"/>
                      <w:szCs w:val="21"/>
                    </w:rPr>
                    <w:t>SO</w:t>
                  </w:r>
                  <w:r>
                    <w:rPr>
                      <w:rFonts w:ascii="Times New Roman" w:hAnsi="Times New Roman" w:eastAsia="宋体"/>
                      <w:sz w:val="21"/>
                      <w:szCs w:val="21"/>
                      <w:vertAlign w:val="subscript"/>
                    </w:rPr>
                    <w:t>2</w:t>
                  </w:r>
                </w:p>
              </w:tc>
              <w:tc>
                <w:tcPr>
                  <w:tcW w:w="814" w:type="dxa"/>
                  <w:vAlign w:val="center"/>
                </w:tcPr>
                <w:p>
                  <w:pPr>
                    <w:pStyle w:val="60"/>
                    <w:rPr>
                      <w:rFonts w:ascii="Times New Roman" w:hAnsi="Times New Roman" w:eastAsia="宋体"/>
                      <w:sz w:val="21"/>
                      <w:szCs w:val="21"/>
                    </w:rPr>
                  </w:pPr>
                  <w:r>
                    <w:rPr>
                      <w:rFonts w:ascii="Times New Roman" w:hAnsi="Times New Roman" w:eastAsia="宋体"/>
                      <w:sz w:val="21"/>
                      <w:szCs w:val="21"/>
                    </w:rPr>
                    <w:t>NO</w:t>
                  </w:r>
                  <w:r>
                    <w:rPr>
                      <w:rFonts w:ascii="Times New Roman" w:hAnsi="Times New Roman" w:eastAsia="宋体"/>
                      <w:sz w:val="21"/>
                      <w:szCs w:val="21"/>
                      <w:vertAlign w:val="subscript"/>
                    </w:rPr>
                    <w:t>2</w:t>
                  </w:r>
                </w:p>
              </w:tc>
              <w:tc>
                <w:tcPr>
                  <w:tcW w:w="716" w:type="dxa"/>
                  <w:vAlign w:val="center"/>
                </w:tcPr>
                <w:p>
                  <w:pPr>
                    <w:pStyle w:val="60"/>
                    <w:rPr>
                      <w:rFonts w:ascii="Times New Roman" w:hAnsi="Times New Roman" w:eastAsia="宋体"/>
                      <w:sz w:val="21"/>
                      <w:szCs w:val="21"/>
                    </w:rPr>
                  </w:pPr>
                  <w:r>
                    <w:rPr>
                      <w:rFonts w:ascii="Times New Roman" w:hAnsi="Times New Roman" w:eastAsia="宋体"/>
                      <w:sz w:val="21"/>
                      <w:szCs w:val="21"/>
                    </w:rPr>
                    <w:t>TSP</w:t>
                  </w:r>
                </w:p>
              </w:tc>
              <w:tc>
                <w:tcPr>
                  <w:tcW w:w="719" w:type="dxa"/>
                  <w:vAlign w:val="center"/>
                </w:tcPr>
                <w:p>
                  <w:pPr>
                    <w:pStyle w:val="60"/>
                    <w:rPr>
                      <w:rFonts w:ascii="Times New Roman" w:hAnsi="Times New Roman" w:eastAsia="宋体"/>
                      <w:sz w:val="21"/>
                      <w:szCs w:val="21"/>
                    </w:rPr>
                  </w:pPr>
                  <w:r>
                    <w:rPr>
                      <w:rFonts w:ascii="Times New Roman" w:hAnsi="Times New Roman" w:eastAsia="宋体"/>
                      <w:sz w:val="21"/>
                      <w:szCs w:val="21"/>
                    </w:rPr>
                    <w:t>PM</w:t>
                  </w:r>
                  <w:r>
                    <w:rPr>
                      <w:rFonts w:ascii="Times New Roman" w:hAnsi="Times New Roman" w:eastAsia="宋体"/>
                      <w:sz w:val="21"/>
                      <w:szCs w:val="21"/>
                      <w:vertAlign w:val="subscript"/>
                    </w:rPr>
                    <w:t>10</w:t>
                  </w:r>
                </w:p>
              </w:tc>
              <w:tc>
                <w:tcPr>
                  <w:tcW w:w="722" w:type="dxa"/>
                  <w:vAlign w:val="center"/>
                </w:tcPr>
                <w:p>
                  <w:pPr>
                    <w:pStyle w:val="60"/>
                    <w:rPr>
                      <w:rFonts w:ascii="Times New Roman" w:hAnsi="Times New Roman" w:eastAsia="宋体"/>
                      <w:sz w:val="21"/>
                      <w:szCs w:val="21"/>
                    </w:rPr>
                  </w:pPr>
                  <w:r>
                    <w:rPr>
                      <w:rFonts w:ascii="Times New Roman" w:hAnsi="Times New Roman" w:eastAsia="宋体"/>
                      <w:sz w:val="21"/>
                      <w:szCs w:val="21"/>
                    </w:rPr>
                    <w:t>PM</w:t>
                  </w:r>
                  <w:r>
                    <w:rPr>
                      <w:rFonts w:ascii="Times New Roman" w:hAnsi="Times New Roman" w:eastAsia="宋体"/>
                      <w:sz w:val="21"/>
                      <w:szCs w:val="21"/>
                      <w:vertAlign w:val="subscript"/>
                    </w:rPr>
                    <w:t>2.5</w:t>
                  </w:r>
                </w:p>
              </w:tc>
              <w:tc>
                <w:tcPr>
                  <w:tcW w:w="702" w:type="dxa"/>
                  <w:vAlign w:val="center"/>
                </w:tcPr>
                <w:p>
                  <w:pPr>
                    <w:pStyle w:val="60"/>
                    <w:rPr>
                      <w:rFonts w:ascii="Times New Roman" w:hAnsi="Times New Roman" w:eastAsia="宋体"/>
                      <w:sz w:val="21"/>
                      <w:szCs w:val="21"/>
                    </w:rPr>
                  </w:pPr>
                  <w:r>
                    <w:rPr>
                      <w:rFonts w:ascii="Times New Roman" w:hAnsi="Times New Roman" w:eastAsia="宋体"/>
                      <w:sz w:val="21"/>
                      <w:szCs w:val="21"/>
                    </w:rPr>
                    <w:t>CO</w:t>
                  </w:r>
                </w:p>
              </w:tc>
              <w:tc>
                <w:tcPr>
                  <w:tcW w:w="696" w:type="dxa"/>
                  <w:vAlign w:val="center"/>
                </w:tcPr>
                <w:p>
                  <w:pPr>
                    <w:pStyle w:val="60"/>
                    <w:rPr>
                      <w:rFonts w:ascii="Times New Roman" w:hAnsi="Times New Roman" w:eastAsia="宋体"/>
                      <w:sz w:val="21"/>
                      <w:szCs w:val="21"/>
                    </w:rPr>
                  </w:pPr>
                  <w:r>
                    <w:rPr>
                      <w:rFonts w:ascii="Times New Roman" w:hAnsi="Times New Roman" w:eastAsia="宋体"/>
                      <w:sz w:val="21"/>
                      <w:szCs w:val="21"/>
                    </w:rPr>
                    <w:t>O</w:t>
                  </w:r>
                  <w:r>
                    <w:rPr>
                      <w:rFonts w:ascii="Times New Roman" w:hAnsi="Times New Roman" w:eastAsia="宋体"/>
                      <w:sz w:val="21"/>
                      <w:szCs w:val="21"/>
                      <w:vertAlign w:val="sub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31" w:hRule="exact"/>
                <w:jc w:val="center"/>
              </w:trPr>
              <w:tc>
                <w:tcPr>
                  <w:tcW w:w="1229" w:type="dxa"/>
                  <w:vAlign w:val="center"/>
                </w:tcPr>
                <w:p>
                  <w:pPr>
                    <w:pStyle w:val="62"/>
                    <w:rPr>
                      <w:rFonts w:ascii="Times New Roman" w:hAnsi="Times New Roman"/>
                      <w:b w:val="0"/>
                      <w:sz w:val="21"/>
                      <w:szCs w:val="21"/>
                    </w:rPr>
                  </w:pPr>
                  <w:r>
                    <w:rPr>
                      <w:rFonts w:ascii="Times New Roman" w:hAnsi="Times New Roman"/>
                      <w:b w:val="0"/>
                      <w:sz w:val="21"/>
                      <w:szCs w:val="21"/>
                    </w:rPr>
                    <w:t>日平均值</w:t>
                  </w:r>
                </w:p>
              </w:tc>
              <w:tc>
                <w:tcPr>
                  <w:tcW w:w="749" w:type="dxa"/>
                  <w:vAlign w:val="center"/>
                </w:tcPr>
                <w:p>
                  <w:pPr>
                    <w:pStyle w:val="62"/>
                    <w:rPr>
                      <w:rFonts w:ascii="Times New Roman" w:hAnsi="Times New Roman"/>
                      <w:b w:val="0"/>
                      <w:sz w:val="21"/>
                      <w:szCs w:val="21"/>
                    </w:rPr>
                  </w:pPr>
                  <w:r>
                    <w:rPr>
                      <w:rFonts w:ascii="Times New Roman" w:hAnsi="Times New Roman"/>
                      <w:b w:val="0"/>
                      <w:sz w:val="21"/>
                      <w:szCs w:val="21"/>
                    </w:rPr>
                    <w:t>mg/m</w:t>
                  </w:r>
                  <w:r>
                    <w:rPr>
                      <w:rFonts w:ascii="Times New Roman" w:hAnsi="Times New Roman"/>
                      <w:b w:val="0"/>
                      <w:sz w:val="21"/>
                      <w:szCs w:val="21"/>
                      <w:vertAlign w:val="superscript"/>
                    </w:rPr>
                    <w:t>3</w:t>
                  </w:r>
                </w:p>
              </w:tc>
              <w:tc>
                <w:tcPr>
                  <w:tcW w:w="633" w:type="dxa"/>
                  <w:vAlign w:val="center"/>
                </w:tcPr>
                <w:p>
                  <w:pPr>
                    <w:pStyle w:val="62"/>
                    <w:rPr>
                      <w:rFonts w:ascii="Times New Roman" w:hAnsi="Times New Roman"/>
                      <w:b w:val="0"/>
                      <w:sz w:val="21"/>
                      <w:szCs w:val="21"/>
                    </w:rPr>
                  </w:pPr>
                  <w:r>
                    <w:rPr>
                      <w:rFonts w:ascii="Times New Roman" w:hAnsi="Times New Roman"/>
                      <w:b w:val="0"/>
                      <w:sz w:val="21"/>
                      <w:szCs w:val="21"/>
                    </w:rPr>
                    <w:t>0.15</w:t>
                  </w:r>
                </w:p>
              </w:tc>
              <w:tc>
                <w:tcPr>
                  <w:tcW w:w="814" w:type="dxa"/>
                  <w:vAlign w:val="center"/>
                </w:tcPr>
                <w:p>
                  <w:pPr>
                    <w:pStyle w:val="62"/>
                    <w:rPr>
                      <w:rFonts w:ascii="Times New Roman" w:hAnsi="Times New Roman"/>
                      <w:b w:val="0"/>
                      <w:sz w:val="21"/>
                      <w:szCs w:val="21"/>
                    </w:rPr>
                  </w:pPr>
                  <w:r>
                    <w:rPr>
                      <w:rFonts w:ascii="Times New Roman" w:hAnsi="Times New Roman"/>
                      <w:b w:val="0"/>
                      <w:sz w:val="21"/>
                      <w:szCs w:val="21"/>
                    </w:rPr>
                    <w:t>0.08</w:t>
                  </w:r>
                </w:p>
              </w:tc>
              <w:tc>
                <w:tcPr>
                  <w:tcW w:w="716" w:type="dxa"/>
                  <w:vAlign w:val="center"/>
                </w:tcPr>
                <w:p>
                  <w:pPr>
                    <w:pStyle w:val="62"/>
                    <w:rPr>
                      <w:rFonts w:ascii="Times New Roman" w:hAnsi="Times New Roman"/>
                      <w:b w:val="0"/>
                      <w:sz w:val="21"/>
                      <w:szCs w:val="21"/>
                    </w:rPr>
                  </w:pPr>
                  <w:r>
                    <w:rPr>
                      <w:rFonts w:ascii="Times New Roman" w:hAnsi="Times New Roman"/>
                      <w:b w:val="0"/>
                      <w:sz w:val="21"/>
                      <w:szCs w:val="21"/>
                    </w:rPr>
                    <w:t>0.3</w:t>
                  </w:r>
                </w:p>
              </w:tc>
              <w:tc>
                <w:tcPr>
                  <w:tcW w:w="719" w:type="dxa"/>
                  <w:vAlign w:val="center"/>
                </w:tcPr>
                <w:p>
                  <w:pPr>
                    <w:pStyle w:val="62"/>
                    <w:rPr>
                      <w:rFonts w:ascii="Times New Roman" w:hAnsi="Times New Roman"/>
                      <w:b w:val="0"/>
                      <w:sz w:val="21"/>
                      <w:szCs w:val="21"/>
                    </w:rPr>
                  </w:pPr>
                  <w:r>
                    <w:rPr>
                      <w:rFonts w:ascii="Times New Roman" w:hAnsi="Times New Roman"/>
                      <w:b w:val="0"/>
                      <w:sz w:val="21"/>
                      <w:szCs w:val="21"/>
                    </w:rPr>
                    <w:t>0.15</w:t>
                  </w:r>
                </w:p>
              </w:tc>
              <w:tc>
                <w:tcPr>
                  <w:tcW w:w="722" w:type="dxa"/>
                  <w:vAlign w:val="center"/>
                </w:tcPr>
                <w:p>
                  <w:pPr>
                    <w:pStyle w:val="62"/>
                    <w:rPr>
                      <w:rFonts w:ascii="Times New Roman" w:hAnsi="Times New Roman"/>
                      <w:b w:val="0"/>
                      <w:sz w:val="21"/>
                      <w:szCs w:val="21"/>
                    </w:rPr>
                  </w:pPr>
                  <w:r>
                    <w:rPr>
                      <w:rFonts w:ascii="Times New Roman" w:hAnsi="Times New Roman"/>
                      <w:b w:val="0"/>
                      <w:sz w:val="21"/>
                      <w:szCs w:val="21"/>
                    </w:rPr>
                    <w:t>0.075</w:t>
                  </w:r>
                </w:p>
              </w:tc>
              <w:tc>
                <w:tcPr>
                  <w:tcW w:w="702" w:type="dxa"/>
                  <w:vAlign w:val="center"/>
                </w:tcPr>
                <w:p>
                  <w:pPr>
                    <w:pStyle w:val="62"/>
                    <w:rPr>
                      <w:rFonts w:ascii="Times New Roman" w:hAnsi="Times New Roman"/>
                      <w:b w:val="0"/>
                      <w:sz w:val="21"/>
                      <w:szCs w:val="21"/>
                    </w:rPr>
                  </w:pPr>
                  <w:r>
                    <w:rPr>
                      <w:rFonts w:ascii="Times New Roman" w:hAnsi="Times New Roman"/>
                      <w:b w:val="0"/>
                      <w:sz w:val="21"/>
                      <w:szCs w:val="21"/>
                    </w:rPr>
                    <w:t>4</w:t>
                  </w:r>
                </w:p>
              </w:tc>
              <w:tc>
                <w:tcPr>
                  <w:tcW w:w="696" w:type="dxa"/>
                  <w:vAlign w:val="center"/>
                </w:tcPr>
                <w:p>
                  <w:pPr>
                    <w:pStyle w:val="62"/>
                    <w:rPr>
                      <w:rFonts w:ascii="Times New Roman" w:hAnsi="Times New Roman"/>
                      <w:b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15" w:hRule="exact"/>
                <w:jc w:val="center"/>
              </w:trPr>
              <w:tc>
                <w:tcPr>
                  <w:tcW w:w="1229" w:type="dxa"/>
                  <w:vAlign w:val="center"/>
                </w:tcPr>
                <w:p>
                  <w:pPr>
                    <w:pStyle w:val="62"/>
                    <w:rPr>
                      <w:rFonts w:ascii="Times New Roman" w:hAnsi="Times New Roman"/>
                      <w:b w:val="0"/>
                      <w:sz w:val="21"/>
                      <w:szCs w:val="21"/>
                    </w:rPr>
                  </w:pPr>
                  <w:r>
                    <w:rPr>
                      <w:rFonts w:ascii="Times New Roman" w:hAnsi="Times New Roman"/>
                      <w:b w:val="0"/>
                      <w:sz w:val="21"/>
                      <w:szCs w:val="21"/>
                    </w:rPr>
                    <w:t>小时平均值</w:t>
                  </w:r>
                </w:p>
              </w:tc>
              <w:tc>
                <w:tcPr>
                  <w:tcW w:w="749" w:type="dxa"/>
                  <w:vAlign w:val="center"/>
                </w:tcPr>
                <w:p>
                  <w:pPr>
                    <w:pStyle w:val="62"/>
                    <w:rPr>
                      <w:rFonts w:ascii="Times New Roman" w:hAnsi="Times New Roman"/>
                      <w:b w:val="0"/>
                      <w:sz w:val="21"/>
                      <w:szCs w:val="21"/>
                    </w:rPr>
                  </w:pPr>
                  <w:r>
                    <w:rPr>
                      <w:rFonts w:ascii="Times New Roman" w:hAnsi="Times New Roman"/>
                      <w:b w:val="0"/>
                      <w:sz w:val="21"/>
                      <w:szCs w:val="21"/>
                    </w:rPr>
                    <w:t>mg/m</w:t>
                  </w:r>
                  <w:r>
                    <w:rPr>
                      <w:rFonts w:ascii="Times New Roman" w:hAnsi="Times New Roman"/>
                      <w:b w:val="0"/>
                      <w:sz w:val="21"/>
                      <w:szCs w:val="21"/>
                      <w:vertAlign w:val="superscript"/>
                    </w:rPr>
                    <w:t>3</w:t>
                  </w:r>
                </w:p>
              </w:tc>
              <w:tc>
                <w:tcPr>
                  <w:tcW w:w="633" w:type="dxa"/>
                  <w:vAlign w:val="center"/>
                </w:tcPr>
                <w:p>
                  <w:pPr>
                    <w:pStyle w:val="62"/>
                    <w:rPr>
                      <w:rFonts w:ascii="Times New Roman" w:hAnsi="Times New Roman"/>
                      <w:b w:val="0"/>
                      <w:sz w:val="21"/>
                      <w:szCs w:val="21"/>
                    </w:rPr>
                  </w:pPr>
                  <w:r>
                    <w:rPr>
                      <w:rFonts w:ascii="Times New Roman" w:hAnsi="Times New Roman"/>
                      <w:b w:val="0"/>
                      <w:sz w:val="21"/>
                      <w:szCs w:val="21"/>
                    </w:rPr>
                    <w:t>0.50</w:t>
                  </w:r>
                </w:p>
              </w:tc>
              <w:tc>
                <w:tcPr>
                  <w:tcW w:w="814" w:type="dxa"/>
                  <w:vAlign w:val="center"/>
                </w:tcPr>
                <w:p>
                  <w:pPr>
                    <w:pStyle w:val="62"/>
                    <w:rPr>
                      <w:rFonts w:ascii="Times New Roman" w:hAnsi="Times New Roman"/>
                      <w:b w:val="0"/>
                      <w:sz w:val="21"/>
                      <w:szCs w:val="21"/>
                    </w:rPr>
                  </w:pPr>
                  <w:r>
                    <w:rPr>
                      <w:rFonts w:ascii="Times New Roman" w:hAnsi="Times New Roman"/>
                      <w:b w:val="0"/>
                      <w:sz w:val="21"/>
                      <w:szCs w:val="21"/>
                    </w:rPr>
                    <w:t>0.20</w:t>
                  </w:r>
                </w:p>
              </w:tc>
              <w:tc>
                <w:tcPr>
                  <w:tcW w:w="716" w:type="dxa"/>
                  <w:vAlign w:val="center"/>
                </w:tcPr>
                <w:p>
                  <w:pPr>
                    <w:pStyle w:val="62"/>
                    <w:rPr>
                      <w:rFonts w:ascii="Times New Roman" w:hAnsi="Times New Roman"/>
                      <w:b w:val="0"/>
                      <w:sz w:val="21"/>
                      <w:szCs w:val="21"/>
                    </w:rPr>
                  </w:pPr>
                  <w:r>
                    <w:rPr>
                      <w:rFonts w:ascii="Times New Roman" w:hAnsi="Times New Roman"/>
                      <w:b w:val="0"/>
                      <w:sz w:val="21"/>
                      <w:szCs w:val="21"/>
                    </w:rPr>
                    <w:t>—</w:t>
                  </w:r>
                </w:p>
              </w:tc>
              <w:tc>
                <w:tcPr>
                  <w:tcW w:w="719" w:type="dxa"/>
                  <w:vAlign w:val="center"/>
                </w:tcPr>
                <w:p>
                  <w:pPr>
                    <w:pStyle w:val="62"/>
                    <w:rPr>
                      <w:rFonts w:ascii="Times New Roman" w:hAnsi="Times New Roman"/>
                      <w:b w:val="0"/>
                      <w:sz w:val="21"/>
                      <w:szCs w:val="21"/>
                    </w:rPr>
                  </w:pPr>
                  <w:r>
                    <w:rPr>
                      <w:rFonts w:ascii="Times New Roman" w:hAnsi="Times New Roman"/>
                      <w:b w:val="0"/>
                      <w:sz w:val="21"/>
                      <w:szCs w:val="21"/>
                    </w:rPr>
                    <w:t>—</w:t>
                  </w:r>
                </w:p>
              </w:tc>
              <w:tc>
                <w:tcPr>
                  <w:tcW w:w="722" w:type="dxa"/>
                  <w:vAlign w:val="center"/>
                </w:tcPr>
                <w:p>
                  <w:pPr>
                    <w:pStyle w:val="62"/>
                    <w:rPr>
                      <w:rFonts w:ascii="Times New Roman" w:hAnsi="Times New Roman"/>
                      <w:b w:val="0"/>
                      <w:sz w:val="21"/>
                      <w:szCs w:val="21"/>
                    </w:rPr>
                  </w:pPr>
                  <w:r>
                    <w:rPr>
                      <w:rFonts w:ascii="Times New Roman" w:hAnsi="Times New Roman"/>
                      <w:sz w:val="21"/>
                      <w:szCs w:val="21"/>
                    </w:rPr>
                    <w:t>—</w:t>
                  </w:r>
                </w:p>
              </w:tc>
              <w:tc>
                <w:tcPr>
                  <w:tcW w:w="702" w:type="dxa"/>
                  <w:vAlign w:val="center"/>
                </w:tcPr>
                <w:p>
                  <w:pPr>
                    <w:pStyle w:val="62"/>
                    <w:rPr>
                      <w:rFonts w:ascii="Times New Roman" w:hAnsi="Times New Roman"/>
                      <w:b w:val="0"/>
                      <w:sz w:val="21"/>
                      <w:szCs w:val="21"/>
                    </w:rPr>
                  </w:pPr>
                  <w:r>
                    <w:rPr>
                      <w:rFonts w:ascii="Times New Roman" w:hAnsi="Times New Roman"/>
                      <w:b w:val="0"/>
                      <w:sz w:val="21"/>
                      <w:szCs w:val="21"/>
                    </w:rPr>
                    <w:t>10</w:t>
                  </w:r>
                </w:p>
              </w:tc>
              <w:tc>
                <w:tcPr>
                  <w:tcW w:w="696" w:type="dxa"/>
                  <w:vAlign w:val="center"/>
                </w:tcPr>
                <w:p>
                  <w:pPr>
                    <w:pStyle w:val="62"/>
                    <w:rPr>
                      <w:rFonts w:ascii="Times New Roman" w:hAnsi="Times New Roman"/>
                      <w:b w:val="0"/>
                      <w:sz w:val="21"/>
                      <w:szCs w:val="21"/>
                    </w:rPr>
                  </w:pPr>
                  <w:r>
                    <w:rPr>
                      <w:rFonts w:ascii="Times New Roman" w:hAnsi="Times New Roman"/>
                      <w:b w:val="0"/>
                      <w:sz w:val="21"/>
                      <w:szCs w:val="21"/>
                    </w:rPr>
                    <w:t>200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03" w:hRule="exact"/>
                <w:jc w:val="center"/>
              </w:trPr>
              <w:tc>
                <w:tcPr>
                  <w:tcW w:w="1229" w:type="dxa"/>
                  <w:vAlign w:val="center"/>
                </w:tcPr>
                <w:p>
                  <w:pPr>
                    <w:pStyle w:val="62"/>
                    <w:rPr>
                      <w:rFonts w:ascii="Times New Roman" w:hAnsi="Times New Roman"/>
                      <w:b w:val="0"/>
                      <w:sz w:val="21"/>
                      <w:szCs w:val="21"/>
                    </w:rPr>
                  </w:pPr>
                  <w:r>
                    <w:rPr>
                      <w:rFonts w:ascii="Times New Roman" w:hAnsi="Times New Roman"/>
                      <w:b w:val="0"/>
                      <w:sz w:val="21"/>
                      <w:szCs w:val="21"/>
                    </w:rPr>
                    <w:t>日最大8小时平均</w:t>
                  </w:r>
                </w:p>
              </w:tc>
              <w:tc>
                <w:tcPr>
                  <w:tcW w:w="749" w:type="dxa"/>
                  <w:vAlign w:val="center"/>
                </w:tcPr>
                <w:p>
                  <w:pPr>
                    <w:pStyle w:val="62"/>
                    <w:rPr>
                      <w:rFonts w:ascii="Times New Roman" w:hAnsi="Times New Roman"/>
                      <w:b w:val="0"/>
                      <w:sz w:val="21"/>
                      <w:szCs w:val="21"/>
                    </w:rPr>
                  </w:pPr>
                  <w:r>
                    <w:rPr>
                      <w:rFonts w:ascii="Times New Roman" w:hAnsi="Times New Roman"/>
                      <w:b w:val="0"/>
                      <w:sz w:val="21"/>
                      <w:szCs w:val="21"/>
                    </w:rPr>
                    <w:t>mg/m</w:t>
                  </w:r>
                  <w:r>
                    <w:rPr>
                      <w:rFonts w:ascii="Times New Roman" w:hAnsi="Times New Roman"/>
                      <w:b w:val="0"/>
                      <w:sz w:val="21"/>
                      <w:szCs w:val="21"/>
                      <w:vertAlign w:val="superscript"/>
                    </w:rPr>
                    <w:t>3</w:t>
                  </w:r>
                </w:p>
              </w:tc>
              <w:tc>
                <w:tcPr>
                  <w:tcW w:w="633" w:type="dxa"/>
                  <w:vAlign w:val="center"/>
                </w:tcPr>
                <w:p>
                  <w:pPr>
                    <w:pStyle w:val="62"/>
                    <w:rPr>
                      <w:rFonts w:ascii="Times New Roman" w:hAnsi="Times New Roman"/>
                      <w:b w:val="0"/>
                      <w:sz w:val="21"/>
                      <w:szCs w:val="21"/>
                    </w:rPr>
                  </w:pPr>
                  <w:r>
                    <w:rPr>
                      <w:rFonts w:ascii="Times New Roman" w:hAnsi="Times New Roman"/>
                      <w:b w:val="0"/>
                      <w:sz w:val="21"/>
                      <w:szCs w:val="21"/>
                    </w:rPr>
                    <w:t>—</w:t>
                  </w:r>
                </w:p>
              </w:tc>
              <w:tc>
                <w:tcPr>
                  <w:tcW w:w="814" w:type="dxa"/>
                  <w:vAlign w:val="center"/>
                </w:tcPr>
                <w:p>
                  <w:pPr>
                    <w:pStyle w:val="62"/>
                    <w:rPr>
                      <w:rFonts w:ascii="Times New Roman" w:hAnsi="Times New Roman"/>
                      <w:b w:val="0"/>
                      <w:sz w:val="21"/>
                      <w:szCs w:val="21"/>
                    </w:rPr>
                  </w:pPr>
                  <w:r>
                    <w:rPr>
                      <w:rFonts w:ascii="Times New Roman" w:hAnsi="Times New Roman"/>
                      <w:sz w:val="21"/>
                      <w:szCs w:val="21"/>
                    </w:rPr>
                    <w:t>—</w:t>
                  </w:r>
                </w:p>
              </w:tc>
              <w:tc>
                <w:tcPr>
                  <w:tcW w:w="716" w:type="dxa"/>
                  <w:vAlign w:val="center"/>
                </w:tcPr>
                <w:p>
                  <w:pPr>
                    <w:pStyle w:val="62"/>
                    <w:rPr>
                      <w:rFonts w:ascii="Times New Roman" w:hAnsi="Times New Roman"/>
                      <w:b w:val="0"/>
                      <w:sz w:val="21"/>
                      <w:szCs w:val="21"/>
                    </w:rPr>
                  </w:pPr>
                  <w:r>
                    <w:rPr>
                      <w:rFonts w:ascii="Times New Roman" w:hAnsi="Times New Roman"/>
                      <w:b w:val="0"/>
                      <w:sz w:val="21"/>
                      <w:szCs w:val="21"/>
                    </w:rPr>
                    <w:t>—</w:t>
                  </w:r>
                </w:p>
              </w:tc>
              <w:tc>
                <w:tcPr>
                  <w:tcW w:w="719" w:type="dxa"/>
                  <w:vAlign w:val="center"/>
                </w:tcPr>
                <w:p>
                  <w:pPr>
                    <w:pStyle w:val="62"/>
                    <w:rPr>
                      <w:rFonts w:ascii="Times New Roman" w:hAnsi="Times New Roman"/>
                      <w:b w:val="0"/>
                      <w:sz w:val="21"/>
                      <w:szCs w:val="21"/>
                    </w:rPr>
                  </w:pPr>
                  <w:r>
                    <w:rPr>
                      <w:rFonts w:ascii="Times New Roman" w:hAnsi="Times New Roman"/>
                      <w:b w:val="0"/>
                      <w:sz w:val="21"/>
                      <w:szCs w:val="21"/>
                    </w:rPr>
                    <w:t>—</w:t>
                  </w:r>
                </w:p>
              </w:tc>
              <w:tc>
                <w:tcPr>
                  <w:tcW w:w="722" w:type="dxa"/>
                  <w:vAlign w:val="center"/>
                </w:tcPr>
                <w:p>
                  <w:pPr>
                    <w:pStyle w:val="62"/>
                    <w:rPr>
                      <w:rFonts w:ascii="Times New Roman" w:hAnsi="Times New Roman"/>
                      <w:sz w:val="21"/>
                      <w:szCs w:val="21"/>
                    </w:rPr>
                  </w:pPr>
                  <w:r>
                    <w:rPr>
                      <w:rFonts w:ascii="Times New Roman" w:hAnsi="Times New Roman"/>
                      <w:b w:val="0"/>
                      <w:sz w:val="21"/>
                      <w:szCs w:val="21"/>
                    </w:rPr>
                    <w:t>—</w:t>
                  </w:r>
                </w:p>
              </w:tc>
              <w:tc>
                <w:tcPr>
                  <w:tcW w:w="702" w:type="dxa"/>
                  <w:vAlign w:val="center"/>
                </w:tcPr>
                <w:p>
                  <w:pPr>
                    <w:pStyle w:val="62"/>
                    <w:rPr>
                      <w:rFonts w:ascii="Times New Roman" w:hAnsi="Times New Roman"/>
                      <w:b w:val="0"/>
                      <w:sz w:val="21"/>
                      <w:szCs w:val="21"/>
                    </w:rPr>
                  </w:pPr>
                  <w:r>
                    <w:rPr>
                      <w:rFonts w:ascii="Times New Roman" w:hAnsi="Times New Roman"/>
                      <w:sz w:val="21"/>
                      <w:szCs w:val="21"/>
                    </w:rPr>
                    <w:t>—</w:t>
                  </w:r>
                </w:p>
              </w:tc>
              <w:tc>
                <w:tcPr>
                  <w:tcW w:w="696" w:type="dxa"/>
                  <w:vAlign w:val="center"/>
                </w:tcPr>
                <w:p>
                  <w:pPr>
                    <w:pStyle w:val="62"/>
                    <w:rPr>
                      <w:rFonts w:ascii="Times New Roman" w:hAnsi="Times New Roman"/>
                      <w:b w:val="0"/>
                      <w:sz w:val="21"/>
                      <w:szCs w:val="21"/>
                    </w:rPr>
                  </w:pPr>
                  <w:r>
                    <w:rPr>
                      <w:rFonts w:ascii="Times New Roman" w:hAnsi="Times New Roman"/>
                      <w:b w:val="0"/>
                      <w:sz w:val="21"/>
                      <w:szCs w:val="21"/>
                    </w:rPr>
                    <w:t>160</w:t>
                  </w:r>
                </w:p>
              </w:tc>
            </w:tr>
          </w:tbl>
          <w:p>
            <w:pPr>
              <w:pStyle w:val="6"/>
              <w:rPr>
                <w:sz w:val="24"/>
              </w:rPr>
            </w:pPr>
          </w:p>
          <w:p>
            <w:pPr>
              <w:pStyle w:val="47"/>
              <w:keepNext w:val="0"/>
              <w:keepLines w:val="0"/>
              <w:pageBreakBefore w:val="0"/>
              <w:widowControl/>
              <w:kinsoku/>
              <w:wordWrap/>
              <w:overflowPunct/>
              <w:topLinePunct w:val="0"/>
              <w:autoSpaceDE/>
              <w:autoSpaceDN/>
              <w:bidi w:val="0"/>
              <w:adjustRightInd w:val="0"/>
              <w:snapToGrid w:val="0"/>
              <w:spacing w:before="1" w:after="0"/>
              <w:ind w:leftChars="200"/>
              <w:textAlignment w:val="auto"/>
              <w:outlineLvl w:val="9"/>
              <w:rPr>
                <w:sz w:val="24"/>
              </w:rPr>
            </w:pPr>
            <w:r>
              <w:rPr>
                <w:rFonts w:ascii="Times New Roman" w:eastAsia="Times New Roman"/>
                <w:sz w:val="24"/>
              </w:rPr>
              <w:t>2</w:t>
            </w:r>
            <w:r>
              <w:rPr>
                <w:sz w:val="24"/>
              </w:rPr>
              <w:t>、声环境</w:t>
            </w:r>
          </w:p>
          <w:p>
            <w:pPr>
              <w:pStyle w:val="47"/>
              <w:keepNext w:val="0"/>
              <w:keepLines w:val="0"/>
              <w:pageBreakBefore w:val="0"/>
              <w:widowControl/>
              <w:kinsoku/>
              <w:wordWrap/>
              <w:overflowPunct/>
              <w:topLinePunct w:val="0"/>
              <w:autoSpaceDE/>
              <w:autoSpaceDN/>
              <w:bidi w:val="0"/>
              <w:adjustRightInd w:val="0"/>
              <w:snapToGrid w:val="0"/>
              <w:spacing w:before="160" w:after="0" w:line="362" w:lineRule="auto"/>
              <w:ind w:left="-9" w:right="9" w:firstLine="480"/>
              <w:textAlignment w:val="auto"/>
              <w:outlineLvl w:val="9"/>
              <w:rPr>
                <w:sz w:val="24"/>
              </w:rPr>
            </w:pPr>
            <w:r>
              <w:rPr>
                <w:sz w:val="24"/>
              </w:rPr>
              <w:t>声环境执行《声环境质量标准》（</w:t>
            </w:r>
            <w:r>
              <w:rPr>
                <w:rFonts w:ascii="Times New Roman" w:eastAsia="Times New Roman"/>
                <w:sz w:val="24"/>
              </w:rPr>
              <w:t>GB3096-2008</w:t>
            </w:r>
            <w:r>
              <w:rPr>
                <w:sz w:val="24"/>
              </w:rPr>
              <w:t xml:space="preserve">）中 </w:t>
            </w:r>
            <w:r>
              <w:rPr>
                <w:rFonts w:ascii="Times New Roman" w:eastAsia="Times New Roman"/>
                <w:sz w:val="24"/>
              </w:rPr>
              <w:t xml:space="preserve">2 </w:t>
            </w:r>
            <w:r>
              <w:rPr>
                <w:sz w:val="24"/>
              </w:rPr>
              <w:t xml:space="preserve">类功能区标准；具体指标见表 </w:t>
            </w:r>
            <w:r>
              <w:rPr>
                <w:rFonts w:ascii="Times New Roman" w:eastAsia="Times New Roman"/>
                <w:sz w:val="24"/>
              </w:rPr>
              <w:t>1-2</w:t>
            </w:r>
            <w:r>
              <w:rPr>
                <w:sz w:val="24"/>
              </w:rPr>
              <w:t>。</w:t>
            </w:r>
          </w:p>
          <w:p>
            <w:pPr>
              <w:pStyle w:val="47"/>
              <w:keepNext w:val="0"/>
              <w:keepLines w:val="0"/>
              <w:pageBreakBefore w:val="0"/>
              <w:widowControl/>
              <w:kinsoku/>
              <w:wordWrap/>
              <w:overflowPunct/>
              <w:topLinePunct w:val="0"/>
              <w:autoSpaceDE/>
              <w:autoSpaceDN/>
              <w:bidi w:val="0"/>
              <w:adjustRightInd w:val="0"/>
              <w:snapToGrid w:val="0"/>
              <w:spacing w:before="160" w:after="0" w:line="362" w:lineRule="auto"/>
              <w:ind w:left="-9" w:right="9" w:firstLine="480"/>
              <w:jc w:val="center"/>
              <w:textAlignment w:val="auto"/>
              <w:outlineLvl w:val="9"/>
              <w:rPr>
                <w:rFonts w:hint="default"/>
                <w:sz w:val="21"/>
                <w:szCs w:val="21"/>
                <w:lang w:eastAsia="zh-CN"/>
              </w:rPr>
            </w:pPr>
            <w:r>
              <w:rPr>
                <w:b/>
                <w:sz w:val="21"/>
                <w:szCs w:val="21"/>
              </w:rPr>
              <w:t>表</w:t>
            </w:r>
            <w:r>
              <w:rPr>
                <w:b/>
                <w:spacing w:val="-52"/>
                <w:sz w:val="21"/>
                <w:szCs w:val="21"/>
              </w:rPr>
              <w:t xml:space="preserve"> </w:t>
            </w:r>
            <w:r>
              <w:rPr>
                <w:rFonts w:ascii="Times New Roman" w:eastAsia="Times New Roman"/>
                <w:b/>
                <w:sz w:val="21"/>
                <w:szCs w:val="21"/>
              </w:rPr>
              <w:t>1-2</w:t>
            </w:r>
            <w:r>
              <w:rPr>
                <w:rFonts w:ascii="Times New Roman" w:eastAsia="Times New Roman"/>
                <w:b/>
                <w:sz w:val="21"/>
                <w:szCs w:val="21"/>
              </w:rPr>
              <w:tab/>
            </w:r>
            <w:r>
              <w:rPr>
                <w:b/>
                <w:sz w:val="21"/>
                <w:szCs w:val="21"/>
              </w:rPr>
              <w:t>声环境质量标准节选</w:t>
            </w:r>
            <w:r>
              <w:rPr>
                <w:b/>
                <w:sz w:val="21"/>
                <w:szCs w:val="21"/>
              </w:rPr>
              <w:tab/>
            </w:r>
            <w:r>
              <w:rPr>
                <w:b/>
                <w:sz w:val="21"/>
                <w:szCs w:val="21"/>
              </w:rPr>
              <w:t>单位：</w:t>
            </w:r>
            <w:r>
              <w:rPr>
                <w:rFonts w:ascii="Times New Roman" w:eastAsia="Times New Roman"/>
                <w:b/>
                <w:sz w:val="21"/>
                <w:szCs w:val="21"/>
              </w:rPr>
              <w:t>dB</w:t>
            </w:r>
            <w:r>
              <w:rPr>
                <w:b/>
                <w:sz w:val="21"/>
                <w:szCs w:val="21"/>
              </w:rPr>
              <w:t>（</w:t>
            </w:r>
            <w:r>
              <w:rPr>
                <w:rFonts w:ascii="Times New Roman" w:eastAsia="Times New Roman"/>
                <w:b/>
                <w:sz w:val="21"/>
                <w:szCs w:val="21"/>
              </w:rPr>
              <w:t>A</w:t>
            </w:r>
            <w:r>
              <w:rPr>
                <w:b/>
                <w:sz w:val="21"/>
                <w:szCs w:val="21"/>
              </w:rPr>
              <w:t>）</w:t>
            </w:r>
          </w:p>
          <w:tbl>
            <w:tblPr>
              <w:tblStyle w:val="24"/>
              <w:tblW w:w="70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1826"/>
              <w:gridCol w:w="30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3" w:type="dxa"/>
                  <w:vMerge w:val="restart"/>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Lines="0" w:line="240" w:lineRule="auto"/>
                    <w:ind w:left="0" w:firstLineChars="0"/>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声功能区类别</w:t>
                  </w:r>
                </w:p>
              </w:tc>
              <w:tc>
                <w:tcPr>
                  <w:tcW w:w="4885" w:type="dxa"/>
                  <w:gridSpan w:val="2"/>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Lines="0" w:line="240" w:lineRule="auto"/>
                    <w:ind w:left="0" w:hanging="422"/>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时段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153" w:type="dxa"/>
                  <w:vMerge w:val="continue"/>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Lines="0" w:line="240" w:lineRule="auto"/>
                    <w:ind w:left="0" w:firstLineChars="0"/>
                    <w:jc w:val="center"/>
                    <w:textAlignment w:val="auto"/>
                    <w:rPr>
                      <w:rFonts w:hint="default" w:ascii="Times New Roman" w:hAnsi="Times New Roman" w:eastAsia="宋体" w:cs="Times New Roman"/>
                      <w:b w:val="0"/>
                      <w:bCs/>
                      <w:color w:val="auto"/>
                      <w:sz w:val="21"/>
                      <w:szCs w:val="21"/>
                      <w:highlight w:val="none"/>
                    </w:rPr>
                  </w:pPr>
                </w:p>
              </w:tc>
              <w:tc>
                <w:tcPr>
                  <w:tcW w:w="1826"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color w:val="auto"/>
                      <w:sz w:val="21"/>
                      <w:szCs w:val="21"/>
                      <w:highlight w:val="none"/>
                    </w:rPr>
                    <w:t>昼间</w:t>
                  </w:r>
                </w:p>
              </w:tc>
              <w:tc>
                <w:tcPr>
                  <w:tcW w:w="3059"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Lines="0" w:line="240" w:lineRule="auto"/>
                    <w:ind w:left="0" w:hanging="422"/>
                    <w:jc w:val="center"/>
                    <w:textAlignment w:val="auto"/>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color w:val="auto"/>
                      <w:sz w:val="21"/>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1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ind w:lef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 类</w:t>
                  </w:r>
                </w:p>
              </w:tc>
              <w:tc>
                <w:tcPr>
                  <w:tcW w:w="18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ind w:left="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60</w:t>
                  </w:r>
                </w:p>
              </w:tc>
              <w:tc>
                <w:tcPr>
                  <w:tcW w:w="3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ind w:left="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50</w:t>
                  </w:r>
                </w:p>
              </w:tc>
            </w:tr>
          </w:tbl>
          <w:tbl>
            <w:tblPr>
              <w:tblStyle w:val="25"/>
              <w:tblW w:w="324" w:type="dxa"/>
              <w:tblInd w:w="86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pStyle w:val="19"/>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heme="minorEastAsia" w:hAnsiTheme="minorEastAsia" w:eastAsiaTheme="minorEastAsia" w:cstheme="minorEastAsia"/>
                      <w:vertAlign w:val="baseline"/>
                      <w:lang w:eastAsia="zh-CN"/>
                    </w:rPr>
                  </w:pPr>
                </w:p>
              </w:tc>
            </w:tr>
          </w:tbl>
          <w:p>
            <w:pPr>
              <w:pStyle w:val="19"/>
              <w:keepNext w:val="0"/>
              <w:keepLines w:val="0"/>
              <w:pageBreakBefore w:val="0"/>
              <w:widowControl/>
              <w:kinsoku/>
              <w:wordWrap/>
              <w:overflowPunct/>
              <w:topLinePunct w:val="0"/>
              <w:autoSpaceDE/>
              <w:autoSpaceDN/>
              <w:bidi w:val="0"/>
              <w:adjustRightInd w:val="0"/>
              <w:snapToGrid w:val="0"/>
              <w:spacing w:after="0" w:line="360" w:lineRule="auto"/>
              <w:ind w:left="440" w:leftChars="200"/>
              <w:jc w:val="both"/>
              <w:textAlignment w:val="auto"/>
              <w:rPr>
                <w:rFonts w:hint="eastAsia" w:asciiTheme="minorEastAsia" w:hAnsiTheme="minorEastAsia" w:eastAsiaTheme="minorEastAsia" w:cs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lang w:val="en-US" w:eastAsia="zh-CN"/>
              </w:rPr>
              <w:t>、地表水</w:t>
            </w:r>
          </w:p>
          <w:p>
            <w:pPr>
              <w:spacing w:line="360" w:lineRule="auto"/>
              <w:jc w:val="center"/>
              <w:rPr>
                <w:rFonts w:hint="default" w:ascii="Times New Roman" w:hAnsi="Times New Roman" w:cs="Times New Roman" w:eastAsiaTheme="minorEastAsia"/>
                <w:b/>
                <w:bCs/>
                <w:sz w:val="21"/>
                <w:szCs w:val="21"/>
                <w:lang w:eastAsia="zh-CN"/>
              </w:rPr>
            </w:pPr>
            <w:r>
              <w:rPr>
                <w:rFonts w:hint="default" w:ascii="Times New Roman" w:hAnsi="Times New Roman" w:cs="Times New Roman" w:eastAsiaTheme="minorEastAsia"/>
                <w:b/>
                <w:bCs/>
                <w:sz w:val="21"/>
                <w:szCs w:val="21"/>
              </w:rPr>
              <w:t>表</w:t>
            </w:r>
            <w:r>
              <w:rPr>
                <w:rFonts w:hint="default" w:ascii="Times New Roman" w:hAnsi="Times New Roman" w:cs="Times New Roman" w:eastAsiaTheme="minorEastAsia"/>
                <w:b/>
                <w:bCs/>
                <w:sz w:val="21"/>
                <w:szCs w:val="21"/>
                <w:lang w:val="en-US" w:eastAsia="zh-CN"/>
              </w:rPr>
              <w:t>1-3</w:t>
            </w:r>
            <w:r>
              <w:rPr>
                <w:rFonts w:hint="default" w:ascii="Times New Roman" w:hAnsi="Times New Roman" w:cs="Times New Roman" w:eastAsiaTheme="minorEastAsia"/>
                <w:b/>
                <w:bCs/>
                <w:sz w:val="21"/>
                <w:szCs w:val="21"/>
              </w:rPr>
              <w:t xml:space="preserve">   地表水水质评价标准(GB3838-2002)Ⅲ类单位：mg/L</w:t>
            </w:r>
          </w:p>
          <w:tbl>
            <w:tblPr>
              <w:tblStyle w:val="24"/>
              <w:tblpPr w:leftFromText="180" w:rightFromText="180" w:vertAnchor="text" w:horzAnchor="page" w:tblpXSpec="center" w:tblpY="258"/>
              <w:tblOverlap w:val="never"/>
              <w:tblW w:w="696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738"/>
              <w:gridCol w:w="898"/>
              <w:gridCol w:w="870"/>
              <w:gridCol w:w="961"/>
              <w:gridCol w:w="1055"/>
              <w:gridCol w:w="12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7" w:hRule="atLeast"/>
                <w:jc w:val="center"/>
              </w:trPr>
              <w:tc>
                <w:tcPr>
                  <w:tcW w:w="1168" w:type="dxa"/>
                  <w:tcBorders>
                    <w:top w:val="single" w:color="auto" w:sz="12"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项目</w:t>
                  </w:r>
                </w:p>
              </w:tc>
              <w:tc>
                <w:tcPr>
                  <w:tcW w:w="738"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PH</w:t>
                  </w:r>
                </w:p>
              </w:tc>
              <w:tc>
                <w:tcPr>
                  <w:tcW w:w="898"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COD</w:t>
                  </w:r>
                  <w:r>
                    <w:rPr>
                      <w:rFonts w:hint="default" w:ascii="Times New Roman" w:hAnsi="Times New Roman" w:cs="Times New Roman" w:eastAsiaTheme="minorEastAsia"/>
                      <w:bCs/>
                      <w:color w:val="auto"/>
                      <w:sz w:val="21"/>
                      <w:szCs w:val="21"/>
                      <w:vertAlign w:val="subscript"/>
                    </w:rPr>
                    <w:t>Cr</w:t>
                  </w:r>
                </w:p>
              </w:tc>
              <w:tc>
                <w:tcPr>
                  <w:tcW w:w="870"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BOD</w:t>
                  </w:r>
                  <w:r>
                    <w:rPr>
                      <w:rFonts w:hint="default" w:ascii="Times New Roman" w:hAnsi="Times New Roman" w:cs="Times New Roman" w:eastAsiaTheme="minorEastAsia"/>
                      <w:bCs/>
                      <w:color w:val="auto"/>
                      <w:sz w:val="21"/>
                      <w:szCs w:val="21"/>
                      <w:vertAlign w:val="subscript"/>
                    </w:rPr>
                    <w:t>5</w:t>
                  </w:r>
                </w:p>
              </w:tc>
              <w:tc>
                <w:tcPr>
                  <w:tcW w:w="961"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氨氮</w:t>
                  </w:r>
                </w:p>
              </w:tc>
              <w:tc>
                <w:tcPr>
                  <w:tcW w:w="1055"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石油类</w:t>
                  </w:r>
                </w:p>
              </w:tc>
              <w:tc>
                <w:tcPr>
                  <w:tcW w:w="1276" w:type="dxa"/>
                  <w:tcBorders>
                    <w:top w:val="single" w:color="auto" w:sz="12" w:space="0"/>
                    <w:left w:val="single" w:color="auto" w:sz="4" w:space="0"/>
                    <w:bottom w:val="single" w:color="auto" w:sz="4" w:space="0"/>
                    <w:right w:val="nil"/>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挥发酚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指标</w:t>
                  </w: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6</w:t>
                  </w:r>
                  <w:r>
                    <w:rPr>
                      <w:rFonts w:hint="default" w:ascii="Times New Roman" w:hAnsi="Times New Roman" w:cs="Times New Roman" w:eastAsiaTheme="minorEastAsia"/>
                      <w:bCs/>
                      <w:color w:val="auto"/>
                      <w:sz w:val="21"/>
                      <w:szCs w:val="21"/>
                      <w:lang w:val="en-US" w:eastAsia="zh-CN"/>
                    </w:rPr>
                    <w:t>~</w:t>
                  </w:r>
                  <w:r>
                    <w:rPr>
                      <w:rFonts w:hint="default" w:ascii="Times New Roman" w:hAnsi="Times New Roman" w:cs="Times New Roman" w:eastAsiaTheme="minorEastAsia"/>
                      <w:bCs/>
                      <w:color w:val="auto"/>
                      <w:sz w:val="21"/>
                      <w:szCs w:val="21"/>
                    </w:rPr>
                    <w:t>9</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≤20</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≤4</w:t>
                  </w:r>
                </w:p>
              </w:tc>
              <w:tc>
                <w:tcPr>
                  <w:tcW w:w="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≤1.0</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≤0.05</w:t>
                  </w:r>
                </w:p>
              </w:tc>
              <w:tc>
                <w:tcPr>
                  <w:tcW w:w="1276" w:type="dxa"/>
                  <w:tcBorders>
                    <w:top w:val="single" w:color="auto" w:sz="4" w:space="0"/>
                    <w:left w:val="single" w:color="auto" w:sz="4" w:space="0"/>
                    <w:bottom w:val="single" w:color="auto" w:sz="4" w:space="0"/>
                    <w:right w:val="nil"/>
                  </w:tcBorders>
                  <w:vAlign w:val="center"/>
                </w:tcPr>
                <w:p>
                  <w:pPr>
                    <w:pStyle w:val="22"/>
                    <w:keepNext w:val="0"/>
                    <w:keepLines w:val="0"/>
                    <w:pageBreakBefore w:val="0"/>
                    <w:kinsoku/>
                    <w:wordWrap/>
                    <w:overflowPunct/>
                    <w:topLinePunct w:val="0"/>
                    <w:autoSpaceDE/>
                    <w:autoSpaceDN/>
                    <w:bidi w:val="0"/>
                    <w:adjustRightInd w:val="0"/>
                    <w:spacing w:after="0" w:line="0" w:lineRule="atLeast"/>
                    <w:ind w:firstLine="0" w:firstLineChars="0"/>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8" w:type="dxa"/>
                  <w:tcBorders>
                    <w:top w:val="single" w:color="auto" w:sz="4" w:space="0"/>
                    <w:left w:val="nil"/>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val="0"/>
                    <w:spacing w:after="0" w:line="0" w:lineRule="atLeast"/>
                    <w:jc w:val="both"/>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水域标准</w:t>
                  </w:r>
                </w:p>
              </w:tc>
              <w:tc>
                <w:tcPr>
                  <w:tcW w:w="5798" w:type="dxa"/>
                  <w:gridSpan w:val="6"/>
                  <w:tcBorders>
                    <w:top w:val="single" w:color="auto" w:sz="4" w:space="0"/>
                    <w:left w:val="single" w:color="auto" w:sz="4" w:space="0"/>
                    <w:bottom w:val="single" w:color="auto" w:sz="12" w:space="0"/>
                    <w:right w:val="nil"/>
                  </w:tcBorders>
                  <w:vAlign w:val="center"/>
                </w:tcPr>
                <w:p>
                  <w:pPr>
                    <w:keepNext w:val="0"/>
                    <w:keepLines w:val="0"/>
                    <w:pageBreakBefore w:val="0"/>
                    <w:kinsoku/>
                    <w:wordWrap/>
                    <w:overflowPunct/>
                    <w:topLinePunct w:val="0"/>
                    <w:autoSpaceDE/>
                    <w:autoSpaceDN/>
                    <w:bidi w:val="0"/>
                    <w:adjustRightInd w:val="0"/>
                    <w:spacing w:after="0" w:line="0" w:lineRule="atLeast"/>
                    <w:jc w:val="center"/>
                    <w:rPr>
                      <w:rFonts w:hint="default" w:ascii="Times New Roman" w:hAnsi="Times New Roman" w:cs="Times New Roman" w:eastAsiaTheme="minorEastAsia"/>
                      <w:bCs/>
                      <w:color w:val="auto"/>
                      <w:sz w:val="21"/>
                      <w:szCs w:val="21"/>
                    </w:rPr>
                  </w:pPr>
                  <w:r>
                    <w:rPr>
                      <w:rFonts w:hint="default" w:ascii="Times New Roman" w:hAnsi="Times New Roman" w:cs="Times New Roman" w:eastAsiaTheme="minorEastAsia"/>
                      <w:bCs/>
                      <w:color w:val="auto"/>
                      <w:sz w:val="21"/>
                      <w:szCs w:val="21"/>
                    </w:rPr>
                    <w:t>(GB3838-2002)中Ⅲ类</w:t>
                  </w:r>
                </w:p>
              </w:tc>
            </w:tr>
          </w:tbl>
          <w:p>
            <w:pPr>
              <w:rPr>
                <w:rFonts w:ascii="Times New Roman" w:hAnsi="Times New Roman"/>
                <w:bCs/>
                <w:color w:val="0000FF"/>
                <w:sz w:val="18"/>
                <w:szCs w:val="18"/>
              </w:rPr>
            </w:pPr>
            <w:r>
              <w:rPr>
                <w:rFonts w:ascii="Times New Roman" w:hAnsi="Times New Roman"/>
                <w:bCs/>
                <w:color w:val="auto"/>
                <w:sz w:val="18"/>
                <w:szCs w:val="18"/>
              </w:rPr>
              <w:t>注：上述标准中，pH无量纲。</w:t>
            </w:r>
          </w:p>
          <w:p>
            <w:pPr>
              <w:pStyle w:val="19"/>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二、污染物排放标准</w:t>
            </w:r>
          </w:p>
          <w:p>
            <w:pPr>
              <w:pStyle w:val="19"/>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eastAsia="zh-CN"/>
              </w:rPr>
              <w:t>1、废气</w:t>
            </w:r>
          </w:p>
          <w:p>
            <w:pPr>
              <w:spacing w:line="360" w:lineRule="auto"/>
              <w:ind w:firstLine="480" w:firstLineChars="200"/>
              <w:rPr>
                <w:rFonts w:hint="default" w:ascii="Times New Roman" w:hAnsi="Times New Roman" w:eastAsia="宋体" w:cs="Times New Roman"/>
                <w:kern w:val="0"/>
                <w:sz w:val="24"/>
                <w:szCs w:val="24"/>
                <w:lang w:val="zh-CN"/>
              </w:rPr>
            </w:pPr>
            <w:r>
              <w:rPr>
                <w:rFonts w:hint="default" w:ascii="Times New Roman" w:hAnsi="Times New Roman" w:eastAsia="宋体" w:cs="Times New Roman"/>
                <w:kern w:val="0"/>
                <w:sz w:val="24"/>
                <w:szCs w:val="24"/>
                <w:lang w:val="zh-CN"/>
              </w:rPr>
              <w:t>大气污染物排放执行《大气污染物综合排放标准》（GB16297-1996）中的二级标准，食堂油烟执行《饮食业油烟排放标准》（试行）（GB18483-2001）标准。具体见如表</w:t>
            </w:r>
            <w:r>
              <w:rPr>
                <w:rFonts w:hint="eastAsia"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lang w:val="zh-CN"/>
              </w:rPr>
              <w:t>-4、</w:t>
            </w:r>
            <w:r>
              <w:rPr>
                <w:rFonts w:hint="eastAsia"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lang w:val="zh-CN"/>
              </w:rPr>
              <w:t>-5所示。</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default"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-4 《大气污染物综合排放标准》（GB16297-1996）二级标准</w:t>
            </w:r>
          </w:p>
          <w:tbl>
            <w:tblPr>
              <w:tblStyle w:val="24"/>
              <w:tblW w:w="696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3134"/>
              <w:gridCol w:w="28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1031" w:type="dxa"/>
                  <w:vAlign w:val="center"/>
                </w:tcPr>
                <w:p>
                  <w:pPr>
                    <w:keepNext w:val="0"/>
                    <w:keepLines w:val="0"/>
                    <w:pageBreakBefore w:val="0"/>
                    <w:widowControl/>
                    <w:kinsoku/>
                    <w:wordWrap/>
                    <w:overflowPunct/>
                    <w:topLinePunct w:val="0"/>
                    <w:bidi w:val="0"/>
                    <w:adjustRightInd w:val="0"/>
                    <w:snapToGrid w:val="0"/>
                    <w:spacing w:after="0" w:line="240" w:lineRule="atLeas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3134" w:type="dxa"/>
                  <w:vAlign w:val="center"/>
                </w:tcPr>
                <w:p>
                  <w:pPr>
                    <w:keepNext w:val="0"/>
                    <w:keepLines w:val="0"/>
                    <w:pageBreakBefore w:val="0"/>
                    <w:widowControl/>
                    <w:kinsoku/>
                    <w:wordWrap/>
                    <w:overflowPunct/>
                    <w:topLinePunct w:val="0"/>
                    <w:bidi w:val="0"/>
                    <w:adjustRightInd w:val="0"/>
                    <w:snapToGrid w:val="0"/>
                    <w:spacing w:after="0" w:line="240" w:lineRule="atLeas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控制项目</w:t>
                  </w:r>
                </w:p>
              </w:tc>
              <w:tc>
                <w:tcPr>
                  <w:tcW w:w="2801" w:type="dxa"/>
                  <w:vAlign w:val="center"/>
                </w:tcPr>
                <w:p>
                  <w:pPr>
                    <w:keepNext w:val="0"/>
                    <w:keepLines w:val="0"/>
                    <w:pageBreakBefore w:val="0"/>
                    <w:widowControl/>
                    <w:kinsoku/>
                    <w:wordWrap/>
                    <w:overflowPunct/>
                    <w:topLinePunct w:val="0"/>
                    <w:bidi w:val="0"/>
                    <w:adjustRightInd w:val="0"/>
                    <w:snapToGrid w:val="0"/>
                    <w:spacing w:after="0" w:line="240" w:lineRule="atLeas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无组织排放监控浓度（mg/m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31" w:type="dxa"/>
                  <w:vAlign w:val="center"/>
                </w:tcPr>
                <w:p>
                  <w:pPr>
                    <w:keepNext w:val="0"/>
                    <w:keepLines w:val="0"/>
                    <w:pageBreakBefore w:val="0"/>
                    <w:widowControl/>
                    <w:kinsoku/>
                    <w:wordWrap/>
                    <w:overflowPunct/>
                    <w:topLinePunct w:val="0"/>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3134" w:type="dxa"/>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tLeast"/>
                    <w:ind w:left="-110" w:leftChars="-50" w:right="-110" w:rightChar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2801" w:type="dxa"/>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tLeast"/>
                    <w:ind w:left="-110" w:leftChars="-50" w:right="-110" w:rightChar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31" w:type="dxa"/>
                  <w:vAlign w:val="center"/>
                </w:tcPr>
                <w:p>
                  <w:pPr>
                    <w:keepNext w:val="0"/>
                    <w:keepLines w:val="0"/>
                    <w:pageBreakBefore w:val="0"/>
                    <w:widowControl/>
                    <w:kinsoku/>
                    <w:wordWrap/>
                    <w:overflowPunct/>
                    <w:topLinePunct w:val="0"/>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3134" w:type="dxa"/>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tLeast"/>
                    <w:ind w:left="-110" w:leftChars="-50" w:right="-110" w:rightChar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2801" w:type="dxa"/>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tLeast"/>
                    <w:ind w:left="-110" w:leftChars="-50" w:right="-110" w:rightChar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31" w:type="dxa"/>
                  <w:vAlign w:val="center"/>
                </w:tcPr>
                <w:p>
                  <w:pPr>
                    <w:keepNext w:val="0"/>
                    <w:keepLines w:val="0"/>
                    <w:pageBreakBefore w:val="0"/>
                    <w:widowControl/>
                    <w:kinsoku/>
                    <w:wordWrap/>
                    <w:overflowPunct/>
                    <w:topLinePunct w:val="0"/>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3134" w:type="dxa"/>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tLeast"/>
                    <w:ind w:left="-110" w:leftChars="-50" w:right="-110" w:rightChar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X</w:t>
                  </w:r>
                </w:p>
              </w:tc>
              <w:tc>
                <w:tcPr>
                  <w:tcW w:w="2801" w:type="dxa"/>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tLeast"/>
                    <w:ind w:left="-110" w:leftChars="-50" w:right="-110" w:rightChars="-5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0.12</w:t>
                  </w:r>
                </w:p>
              </w:tc>
            </w:tr>
          </w:tbl>
          <w:p>
            <w:pPr>
              <w:adjustRightInd w:val="0"/>
              <w:snapToGrid w:val="0"/>
              <w:spacing w:line="360" w:lineRule="auto"/>
              <w:jc w:val="center"/>
              <w:rPr>
                <w:rFonts w:hint="default"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default"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-5 《饮食业油烟排放标准》（试行）排放标准</w:t>
            </w:r>
          </w:p>
          <w:tbl>
            <w:tblPr>
              <w:tblStyle w:val="24"/>
              <w:tblW w:w="696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157"/>
              <w:gridCol w:w="1273"/>
              <w:gridCol w:w="1270"/>
              <w:gridCol w:w="126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3157"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规模</w:t>
                  </w:r>
                </w:p>
              </w:tc>
              <w:tc>
                <w:tcPr>
                  <w:tcW w:w="127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小型</w:t>
                  </w:r>
                </w:p>
              </w:tc>
              <w:tc>
                <w:tcPr>
                  <w:tcW w:w="127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中型</w:t>
                  </w:r>
                </w:p>
              </w:tc>
              <w:tc>
                <w:tcPr>
                  <w:tcW w:w="12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大型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3157"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基准灶头数（个）</w:t>
                  </w:r>
                </w:p>
              </w:tc>
              <w:tc>
                <w:tcPr>
                  <w:tcW w:w="127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≥1，&lt;3</w:t>
                  </w:r>
                </w:p>
              </w:tc>
              <w:tc>
                <w:tcPr>
                  <w:tcW w:w="127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≥3，&lt;6</w:t>
                  </w:r>
                </w:p>
              </w:tc>
              <w:tc>
                <w:tcPr>
                  <w:tcW w:w="12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3" w:hRule="exact"/>
                <w:jc w:val="center"/>
              </w:trPr>
              <w:tc>
                <w:tcPr>
                  <w:tcW w:w="3157"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对应灶头总功率（108J/h）</w:t>
                  </w:r>
                </w:p>
              </w:tc>
              <w:tc>
                <w:tcPr>
                  <w:tcW w:w="127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≥1.67，&lt;5.0</w:t>
                  </w:r>
                </w:p>
              </w:tc>
              <w:tc>
                <w:tcPr>
                  <w:tcW w:w="127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≥5.0，&lt;10</w:t>
                  </w:r>
                </w:p>
              </w:tc>
              <w:tc>
                <w:tcPr>
                  <w:tcW w:w="12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3157"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对应排气总投影面积（m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w:t>
                  </w:r>
                </w:p>
              </w:tc>
              <w:tc>
                <w:tcPr>
                  <w:tcW w:w="127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≥1.1，&lt;3.3</w:t>
                  </w:r>
                </w:p>
              </w:tc>
              <w:tc>
                <w:tcPr>
                  <w:tcW w:w="127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≥3.3，&lt;6.6</w:t>
                  </w:r>
                </w:p>
              </w:tc>
              <w:tc>
                <w:tcPr>
                  <w:tcW w:w="12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3157"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净化设施最低去除效率（%）</w:t>
                  </w:r>
                </w:p>
              </w:tc>
              <w:tc>
                <w:tcPr>
                  <w:tcW w:w="127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127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w:t>
                  </w:r>
                </w:p>
              </w:tc>
              <w:tc>
                <w:tcPr>
                  <w:tcW w:w="126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3157"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最高允许排放浓度（mg/m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3809" w:type="dxa"/>
                  <w:gridSpan w:val="3"/>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本项目区内食堂的灶头数属于大型规模，净化设施去除率须达到85%，最高允许排放浓度＜2.0 mg/m</w:t>
            </w:r>
            <w:r>
              <w:rPr>
                <w:rFonts w:hint="default" w:ascii="Times New Roman" w:hAnsi="Times New Roman" w:eastAsia="宋体" w:cs="Times New Roman"/>
                <w:kern w:val="0"/>
                <w:sz w:val="24"/>
                <w:szCs w:val="24"/>
                <w:vertAlign w:val="superscript"/>
              </w:rPr>
              <w:t>3</w:t>
            </w:r>
            <w:r>
              <w:rPr>
                <w:rFonts w:hint="default" w:ascii="Times New Roman" w:hAnsi="Times New Roman" w:eastAsia="宋体" w:cs="Times New Roman"/>
                <w:bCs/>
                <w:kern w:val="0"/>
                <w:sz w:val="24"/>
                <w:szCs w:val="24"/>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垃圾桶及水处理设施恶臭执行GB14554-93《恶臭污染物排放标准》一级标准，即臭气浓度≤10（无量纲）。</w:t>
            </w:r>
          </w:p>
          <w:p>
            <w:pPr>
              <w:pStyle w:val="47"/>
              <w:spacing w:before="1"/>
              <w:ind w:firstLine="482" w:firstLineChars="200"/>
              <w:rPr>
                <w:rFonts w:hint="default" w:ascii="Times New Roman" w:hAnsi="Times New Roman" w:eastAsia="宋体" w:cs="Times New Roman"/>
                <w:b/>
                <w:bCs/>
                <w:sz w:val="24"/>
                <w:lang w:eastAsia="zh-CN"/>
              </w:rPr>
            </w:pPr>
            <w:r>
              <w:rPr>
                <w:rFonts w:hint="default" w:ascii="Times New Roman" w:hAnsi="Times New Roman" w:eastAsia="宋体" w:cs="Times New Roman"/>
                <w:b/>
                <w:bCs/>
                <w:sz w:val="24"/>
                <w:lang w:val="en-US" w:eastAsia="zh-CN"/>
              </w:rPr>
              <w:t>2</w:t>
            </w:r>
            <w:r>
              <w:rPr>
                <w:rFonts w:hint="default" w:ascii="Times New Roman" w:hAnsi="Times New Roman" w:eastAsia="宋体" w:cs="Times New Roman"/>
                <w:b/>
                <w:bCs/>
                <w:sz w:val="24"/>
              </w:rPr>
              <w:t>、</w:t>
            </w:r>
            <w:r>
              <w:rPr>
                <w:rFonts w:hint="default" w:ascii="Times New Roman" w:hAnsi="Times New Roman" w:eastAsia="宋体" w:cs="Times New Roman"/>
                <w:b/>
                <w:bCs/>
                <w:sz w:val="24"/>
                <w:lang w:val="en-US" w:eastAsia="zh-CN"/>
              </w:rPr>
              <w:t>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项目废水执行《污水综合排放标准》（GB8978-1996）表中三</w:t>
            </w:r>
            <w:r>
              <w:rPr>
                <w:rFonts w:hint="default" w:ascii="Times New Roman" w:hAnsi="Times New Roman" w:eastAsia="宋体" w:cs="Times New Roman"/>
                <w:color w:val="auto"/>
                <w:sz w:val="24"/>
                <w:szCs w:val="24"/>
              </w:rPr>
              <w:t>级标准和《污水排入城镇下水道水质标准》（GB-T 31962-2015）B级标准，标准值如表4-6所示。项目废水经市政污水管道进入宜宾市临港白沙城镇污水处理厂处理达《四川省岷江、沱江流域水污染物排放标准》（DB51/2311-2016）标准后，排入长江，排放标准如表</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6、1-7</w:t>
            </w:r>
            <w:r>
              <w:rPr>
                <w:rFonts w:hint="default" w:ascii="Times New Roman" w:hAnsi="Times New Roman" w:eastAsia="宋体" w:cs="Times New Roman"/>
                <w:color w:val="auto"/>
                <w:sz w:val="24"/>
                <w:szCs w:val="24"/>
              </w:rPr>
              <w:t>所示。</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r>
              <w:rPr>
                <w:rFonts w:hint="default"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-6《污水综合排放标准》（GB8978-1996）中三级标准   单位：mg/L</w:t>
            </w:r>
          </w:p>
          <w:tbl>
            <w:tblPr>
              <w:tblStyle w:val="24"/>
              <w:tblW w:w="6966"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203"/>
              <w:gridCol w:w="3012"/>
              <w:gridCol w:w="275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69" w:hRule="exact"/>
                <w:jc w:val="center"/>
              </w:trPr>
              <w:tc>
                <w:tcPr>
                  <w:tcW w:w="1203"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3012"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基本控制项目</w:t>
                  </w:r>
                </w:p>
              </w:tc>
              <w:tc>
                <w:tcPr>
                  <w:tcW w:w="2751"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三级标准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20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3012" w:type="dxa"/>
                  <w:vAlign w:val="center"/>
                </w:tcPr>
                <w:p>
                  <w:pPr>
                    <w:pStyle w:val="6"/>
                    <w:ind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szCs w:val="21"/>
                    </w:rPr>
                    <w:t>pH</w:t>
                  </w:r>
                </w:p>
              </w:tc>
              <w:tc>
                <w:tcPr>
                  <w:tcW w:w="275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6-9，无量纲</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20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3012" w:type="dxa"/>
                  <w:vAlign w:val="center"/>
                </w:tcPr>
                <w:p>
                  <w:pPr>
                    <w:pStyle w:val="6"/>
                    <w:ind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szCs w:val="21"/>
                    </w:rPr>
                    <w:t>COD</w:t>
                  </w:r>
                </w:p>
              </w:tc>
              <w:tc>
                <w:tcPr>
                  <w:tcW w:w="2751" w:type="dxa"/>
                  <w:vAlign w:val="center"/>
                </w:tcPr>
                <w:p>
                  <w:pPr>
                    <w:pStyle w:val="6"/>
                    <w:ind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szCs w:val="21"/>
                    </w:rPr>
                    <w:t>500mg/L</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20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3012" w:type="dxa"/>
                  <w:vAlign w:val="center"/>
                </w:tcPr>
                <w:p>
                  <w:pPr>
                    <w:pStyle w:val="6"/>
                    <w:ind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szCs w:val="21"/>
                    </w:rPr>
                    <w:t>BOD</w:t>
                  </w:r>
                  <w:r>
                    <w:rPr>
                      <w:rFonts w:hint="default" w:ascii="Times New Roman" w:hAnsi="Times New Roman" w:eastAsia="宋体" w:cs="Times New Roman"/>
                      <w:szCs w:val="21"/>
                      <w:vertAlign w:val="subscript"/>
                    </w:rPr>
                    <w:t>5</w:t>
                  </w:r>
                </w:p>
              </w:tc>
              <w:tc>
                <w:tcPr>
                  <w:tcW w:w="2751" w:type="dxa"/>
                  <w:vAlign w:val="center"/>
                </w:tcPr>
                <w:p>
                  <w:pPr>
                    <w:pStyle w:val="6"/>
                    <w:ind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szCs w:val="21"/>
                    </w:rPr>
                    <w:t>300mg/L</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69" w:hRule="exact"/>
                <w:jc w:val="center"/>
              </w:trPr>
              <w:tc>
                <w:tcPr>
                  <w:tcW w:w="120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3012" w:type="dxa"/>
                  <w:vAlign w:val="center"/>
                </w:tcPr>
                <w:p>
                  <w:pPr>
                    <w:pStyle w:val="6"/>
                    <w:ind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szCs w:val="21"/>
                    </w:rPr>
                    <w:t>SS</w:t>
                  </w:r>
                </w:p>
              </w:tc>
              <w:tc>
                <w:tcPr>
                  <w:tcW w:w="2751" w:type="dxa"/>
                  <w:vAlign w:val="center"/>
                </w:tcPr>
                <w:p>
                  <w:pPr>
                    <w:pStyle w:val="6"/>
                    <w:ind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szCs w:val="21"/>
                    </w:rPr>
                    <w:t>400mg/L</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69" w:hRule="exact"/>
                <w:jc w:val="center"/>
              </w:trPr>
              <w:tc>
                <w:tcPr>
                  <w:tcW w:w="120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3012" w:type="dxa"/>
                  <w:vAlign w:val="center"/>
                </w:tcPr>
                <w:p>
                  <w:pPr>
                    <w:pStyle w:val="6"/>
                    <w:ind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szCs w:val="21"/>
                    </w:rPr>
                    <w:t>动植物油</w:t>
                  </w:r>
                </w:p>
              </w:tc>
              <w:tc>
                <w:tcPr>
                  <w:tcW w:w="275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100mg/L</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20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3012" w:type="dxa"/>
                  <w:vAlign w:val="center"/>
                </w:tcPr>
                <w:p>
                  <w:pPr>
                    <w:pStyle w:val="6"/>
                    <w:ind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szCs w:val="21"/>
                    </w:rPr>
                    <w:t>氨氮</w:t>
                  </w:r>
                </w:p>
              </w:tc>
              <w:tc>
                <w:tcPr>
                  <w:tcW w:w="275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45mg/L</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20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3012" w:type="dxa"/>
                  <w:vAlign w:val="center"/>
                </w:tcPr>
                <w:p>
                  <w:pPr>
                    <w:pStyle w:val="6"/>
                    <w:ind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szCs w:val="21"/>
                    </w:rPr>
                    <w:t>总磷</w:t>
                  </w:r>
                </w:p>
              </w:tc>
              <w:tc>
                <w:tcPr>
                  <w:tcW w:w="275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8mg/L</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03"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执行标准</w:t>
                  </w:r>
                </w:p>
              </w:tc>
              <w:tc>
                <w:tcPr>
                  <w:tcW w:w="5763" w:type="dxa"/>
                  <w:gridSpan w:val="2"/>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《污水综合排放标准》（GB8978－1996）表4三级标准、《污水排入城镇下水道水质标准》（GB-T 31962-2015）B级标准</w:t>
                  </w:r>
                </w:p>
              </w:tc>
            </w:tr>
          </w:tbl>
          <w:p>
            <w:pPr>
              <w:tabs>
                <w:tab w:val="left" w:pos="753"/>
              </w:tabs>
              <w:kinsoku w:val="0"/>
              <w:overflowPunct w:val="0"/>
              <w:snapToGrid w:val="0"/>
              <w:spacing w:before="40" w:after="40" w:line="240" w:lineRule="auto"/>
              <w:jc w:val="center"/>
              <w:rPr>
                <w:rFonts w:hint="default" w:ascii="Times New Roman" w:hAnsi="Times New Roman" w:eastAsia="宋体" w:cs="Times New Roman"/>
                <w:sz w:val="21"/>
                <w:szCs w:val="21"/>
              </w:rPr>
            </w:pPr>
          </w:p>
          <w:p>
            <w:pPr>
              <w:tabs>
                <w:tab w:val="left" w:pos="753"/>
              </w:tabs>
              <w:kinsoku w:val="0"/>
              <w:overflowPunct w:val="0"/>
              <w:snapToGrid w:val="0"/>
              <w:spacing w:before="40" w:after="40"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 xml:space="preserve">表 </w:t>
            </w:r>
            <w:r>
              <w:rPr>
                <w:rFonts w:hint="eastAsia"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-7《四川省岷江、沱江流域水污染物排放标准》</w:t>
            </w:r>
          </w:p>
          <w:p>
            <w:pPr>
              <w:tabs>
                <w:tab w:val="left" w:pos="753"/>
              </w:tabs>
              <w:kinsoku w:val="0"/>
              <w:overflowPunct w:val="0"/>
              <w:snapToGrid w:val="0"/>
              <w:spacing w:before="40" w:after="40" w:line="240" w:lineRule="auto"/>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（DB51/2311-2016）中标准</w:t>
            </w:r>
          </w:p>
          <w:tbl>
            <w:tblPr>
              <w:tblStyle w:val="24"/>
              <w:tblW w:w="6966"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838"/>
              <w:gridCol w:w="998"/>
              <w:gridCol w:w="1042"/>
              <w:gridCol w:w="999"/>
              <w:gridCol w:w="996"/>
              <w:gridCol w:w="109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838" w:type="dxa"/>
                  <w:tcBorders>
                    <w:top w:val="single" w:color="000000" w:sz="12" w:space="0"/>
                    <w:left w:val="nil"/>
                    <w:bottom w:val="single" w:color="000000" w:sz="4" w:space="0"/>
                    <w:right w:val="single" w:color="000000" w:sz="4" w:space="0"/>
                  </w:tcBorders>
                  <w:vAlign w:val="center"/>
                </w:tcPr>
                <w:p>
                  <w:pPr>
                    <w:pStyle w:val="47"/>
                    <w:kinsoku w:val="0"/>
                    <w:overflowPunct w:val="0"/>
                    <w:spacing w:line="261"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1"/>
                      <w:szCs w:val="21"/>
                    </w:rPr>
                    <w:t>项目</w:t>
                  </w:r>
                </w:p>
              </w:tc>
              <w:tc>
                <w:tcPr>
                  <w:tcW w:w="998" w:type="dxa"/>
                  <w:tcBorders>
                    <w:top w:val="single" w:color="000000" w:sz="12" w:space="0"/>
                    <w:left w:val="single" w:color="000000" w:sz="4" w:space="0"/>
                    <w:bottom w:val="single" w:color="000000" w:sz="4" w:space="0"/>
                    <w:right w:val="single" w:color="000000" w:sz="4" w:space="0"/>
                  </w:tcBorders>
                  <w:vAlign w:val="center"/>
                </w:tcPr>
                <w:p>
                  <w:pPr>
                    <w:pStyle w:val="47"/>
                    <w:kinsoku w:val="0"/>
                    <w:overflowPunct w:val="0"/>
                    <w:spacing w:before="33"/>
                    <w:ind w:right="1"/>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1"/>
                      <w:szCs w:val="21"/>
                    </w:rPr>
                    <w:t>pH</w:t>
                  </w:r>
                </w:p>
              </w:tc>
              <w:tc>
                <w:tcPr>
                  <w:tcW w:w="1042" w:type="dxa"/>
                  <w:tcBorders>
                    <w:top w:val="single" w:color="000000" w:sz="12" w:space="0"/>
                    <w:left w:val="single" w:color="000000" w:sz="4" w:space="0"/>
                    <w:bottom w:val="single" w:color="000000" w:sz="4" w:space="0"/>
                    <w:right w:val="single" w:color="000000" w:sz="4" w:space="0"/>
                  </w:tcBorders>
                  <w:vAlign w:val="center"/>
                </w:tcPr>
                <w:p>
                  <w:pPr>
                    <w:pStyle w:val="47"/>
                    <w:kinsoku w:val="0"/>
                    <w:overflowPunct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1"/>
                      <w:szCs w:val="21"/>
                    </w:rPr>
                    <w:t>C</w:t>
                  </w:r>
                  <w:r>
                    <w:rPr>
                      <w:rFonts w:hint="default" w:ascii="Times New Roman" w:hAnsi="Times New Roman" w:eastAsia="宋体" w:cs="Times New Roman"/>
                      <w:color w:val="auto"/>
                      <w:spacing w:val="-2"/>
                      <w:sz w:val="21"/>
                      <w:szCs w:val="21"/>
                    </w:rPr>
                    <w:t>O</w:t>
                  </w:r>
                  <w:r>
                    <w:rPr>
                      <w:rFonts w:hint="default" w:ascii="Times New Roman" w:hAnsi="Times New Roman" w:eastAsia="宋体" w:cs="Times New Roman"/>
                      <w:color w:val="auto"/>
                      <w:sz w:val="21"/>
                      <w:szCs w:val="21"/>
                    </w:rPr>
                    <w:t>D</w:t>
                  </w:r>
                </w:p>
              </w:tc>
              <w:tc>
                <w:tcPr>
                  <w:tcW w:w="999" w:type="dxa"/>
                  <w:tcBorders>
                    <w:top w:val="single" w:color="000000" w:sz="12" w:space="0"/>
                    <w:left w:val="single" w:color="000000" w:sz="4" w:space="0"/>
                    <w:bottom w:val="single" w:color="000000" w:sz="4" w:space="0"/>
                    <w:right w:val="single" w:color="000000" w:sz="4" w:space="0"/>
                  </w:tcBorders>
                  <w:vAlign w:val="center"/>
                </w:tcPr>
                <w:p>
                  <w:pPr>
                    <w:pStyle w:val="47"/>
                    <w:kinsoku w:val="0"/>
                    <w:overflowPunct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1"/>
                      <w:szCs w:val="21"/>
                    </w:rPr>
                    <w:t>B</w:t>
                  </w:r>
                  <w:r>
                    <w:rPr>
                      <w:rFonts w:hint="default" w:ascii="Times New Roman" w:hAnsi="Times New Roman" w:eastAsia="宋体" w:cs="Times New Roman"/>
                      <w:color w:val="auto"/>
                      <w:spacing w:val="-2"/>
                      <w:sz w:val="21"/>
                      <w:szCs w:val="21"/>
                    </w:rPr>
                    <w:t>O</w:t>
                  </w:r>
                  <w:r>
                    <w:rPr>
                      <w:rFonts w:hint="default" w:ascii="Times New Roman" w:hAnsi="Times New Roman" w:eastAsia="宋体" w:cs="Times New Roman"/>
                      <w:color w:val="auto"/>
                      <w:spacing w:val="1"/>
                      <w:sz w:val="21"/>
                      <w:szCs w:val="21"/>
                    </w:rPr>
                    <w:t>D</w:t>
                  </w:r>
                  <w:r>
                    <w:rPr>
                      <w:rFonts w:hint="default" w:ascii="Times New Roman" w:hAnsi="Times New Roman" w:eastAsia="宋体" w:cs="Times New Roman"/>
                      <w:color w:val="auto"/>
                      <w:position w:val="-3"/>
                      <w:sz w:val="14"/>
                      <w:szCs w:val="14"/>
                    </w:rPr>
                    <w:t>5</w:t>
                  </w:r>
                </w:p>
              </w:tc>
              <w:tc>
                <w:tcPr>
                  <w:tcW w:w="996" w:type="dxa"/>
                  <w:tcBorders>
                    <w:top w:val="single" w:color="000000" w:sz="12" w:space="0"/>
                    <w:left w:val="single" w:color="000000" w:sz="4" w:space="0"/>
                    <w:bottom w:val="single" w:color="000000" w:sz="4" w:space="0"/>
                    <w:right w:val="single" w:color="000000" w:sz="4" w:space="0"/>
                  </w:tcBorders>
                  <w:vAlign w:val="center"/>
                </w:tcPr>
                <w:p>
                  <w:pPr>
                    <w:pStyle w:val="47"/>
                    <w:kinsoku w:val="0"/>
                    <w:overflowPunct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pacing w:val="-2"/>
                      <w:sz w:val="21"/>
                      <w:szCs w:val="21"/>
                    </w:rPr>
                    <w:t>N</w:t>
                  </w:r>
                  <w:r>
                    <w:rPr>
                      <w:rFonts w:hint="default" w:ascii="Times New Roman" w:hAnsi="Times New Roman" w:eastAsia="宋体" w:cs="Times New Roman"/>
                      <w:color w:val="auto"/>
                      <w:spacing w:val="1"/>
                      <w:sz w:val="21"/>
                      <w:szCs w:val="21"/>
                    </w:rPr>
                    <w:t>H</w:t>
                  </w:r>
                  <w:r>
                    <w:rPr>
                      <w:rFonts w:hint="default" w:ascii="Times New Roman" w:hAnsi="Times New Roman" w:eastAsia="宋体" w:cs="Times New Roman"/>
                      <w:color w:val="auto"/>
                      <w:position w:val="-3"/>
                      <w:sz w:val="14"/>
                      <w:szCs w:val="14"/>
                    </w:rPr>
                    <w:t>3</w:t>
                  </w:r>
                  <w:r>
                    <w:rPr>
                      <w:rFonts w:hint="default" w:ascii="Times New Roman" w:hAnsi="Times New Roman" w:eastAsia="宋体" w:cs="Times New Roman"/>
                      <w:color w:val="auto"/>
                      <w:spacing w:val="-4"/>
                      <w:sz w:val="21"/>
                      <w:szCs w:val="21"/>
                    </w:rPr>
                    <w:t>-</w:t>
                  </w:r>
                  <w:r>
                    <w:rPr>
                      <w:rFonts w:hint="default" w:ascii="Times New Roman" w:hAnsi="Times New Roman" w:eastAsia="宋体" w:cs="Times New Roman"/>
                      <w:color w:val="auto"/>
                      <w:sz w:val="21"/>
                      <w:szCs w:val="21"/>
                    </w:rPr>
                    <w:t>N</w:t>
                  </w:r>
                </w:p>
              </w:tc>
              <w:tc>
                <w:tcPr>
                  <w:tcW w:w="1093" w:type="dxa"/>
                  <w:tcBorders>
                    <w:top w:val="single" w:color="000000" w:sz="12" w:space="0"/>
                    <w:left w:val="single" w:color="000000" w:sz="4" w:space="0"/>
                    <w:bottom w:val="single" w:color="000000" w:sz="4" w:space="0"/>
                    <w:right w:val="nil"/>
                  </w:tcBorders>
                  <w:vAlign w:val="center"/>
                </w:tcPr>
                <w:p>
                  <w:pPr>
                    <w:pStyle w:val="47"/>
                    <w:kinsoku w:val="0"/>
                    <w:overflowPunct w:val="0"/>
                    <w:spacing w:before="33"/>
                    <w:ind w:right="4"/>
                    <w:jc w:val="center"/>
                    <w:rPr>
                      <w:rFonts w:hint="default" w:ascii="Times New Roman" w:hAnsi="Times New Roman" w:eastAsia="宋体" w:cs="Times New Roman"/>
                      <w:color w:val="auto"/>
                    </w:rPr>
                  </w:pPr>
                  <w:r>
                    <w:rPr>
                      <w:rFonts w:hint="default" w:ascii="Times New Roman" w:hAnsi="Times New Roman" w:eastAsia="宋体" w:cs="Times New Roman"/>
                      <w:color w:val="auto"/>
                      <w:spacing w:val="-2"/>
                      <w:sz w:val="21"/>
                      <w:szCs w:val="21"/>
                    </w:rPr>
                    <w:t>TP</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1" w:hRule="exact"/>
              </w:trPr>
              <w:tc>
                <w:tcPr>
                  <w:tcW w:w="1838" w:type="dxa"/>
                  <w:tcBorders>
                    <w:top w:val="single" w:color="000000" w:sz="4" w:space="0"/>
                    <w:left w:val="nil"/>
                    <w:bottom w:val="single" w:color="000000" w:sz="12" w:space="0"/>
                    <w:right w:val="single" w:color="000000" w:sz="4" w:space="0"/>
                  </w:tcBorders>
                  <w:vAlign w:val="center"/>
                </w:tcPr>
                <w:p>
                  <w:pPr>
                    <w:pStyle w:val="47"/>
                    <w:kinsoku w:val="0"/>
                    <w:overflowPunct w:val="0"/>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1"/>
                      <w:szCs w:val="21"/>
                    </w:rPr>
                    <w:t>标准</w:t>
                  </w:r>
                  <w:r>
                    <w:rPr>
                      <w:rFonts w:hint="default" w:ascii="Times New Roman" w:hAnsi="Times New Roman" w:eastAsia="宋体" w:cs="Times New Roman"/>
                      <w:color w:val="auto"/>
                      <w:spacing w:val="-3"/>
                      <w:sz w:val="21"/>
                      <w:szCs w:val="21"/>
                    </w:rPr>
                    <w:t>限</w:t>
                  </w:r>
                  <w:r>
                    <w:rPr>
                      <w:rFonts w:hint="default" w:ascii="Times New Roman" w:hAnsi="Times New Roman" w:eastAsia="宋体" w:cs="Times New Roman"/>
                      <w:color w:val="auto"/>
                      <w:sz w:val="21"/>
                      <w:szCs w:val="21"/>
                    </w:rPr>
                    <w:t>值</w:t>
                  </w:r>
                  <w:r>
                    <w:rPr>
                      <w:rFonts w:hint="default" w:ascii="Times New Roman" w:hAnsi="Times New Roman" w:eastAsia="宋体" w:cs="Times New Roman"/>
                      <w:color w:val="auto"/>
                      <w:spacing w:val="-1"/>
                      <w:sz w:val="21"/>
                      <w:szCs w:val="21"/>
                    </w:rPr>
                    <w:t>（</w:t>
                  </w:r>
                  <w:r>
                    <w:rPr>
                      <w:rFonts w:hint="default" w:ascii="Times New Roman" w:hAnsi="Times New Roman" w:eastAsia="宋体" w:cs="Times New Roman"/>
                      <w:color w:val="auto"/>
                      <w:spacing w:val="-4"/>
                      <w:sz w:val="21"/>
                      <w:szCs w:val="21"/>
                    </w:rPr>
                    <w:t>m</w:t>
                  </w:r>
                  <w:r>
                    <w:rPr>
                      <w:rFonts w:hint="default" w:ascii="Times New Roman" w:hAnsi="Times New Roman" w:eastAsia="宋体" w:cs="Times New Roman"/>
                      <w:color w:val="auto"/>
                      <w:sz w:val="21"/>
                      <w:szCs w:val="21"/>
                    </w:rPr>
                    <w:t>g</w:t>
                  </w:r>
                  <w:r>
                    <w:rPr>
                      <w:rFonts w:hint="default" w:ascii="Times New Roman" w:hAnsi="Times New Roman" w:eastAsia="宋体" w:cs="Times New Roman"/>
                      <w:color w:val="auto"/>
                      <w:spacing w:val="-2"/>
                      <w:sz w:val="21"/>
                      <w:szCs w:val="21"/>
                    </w:rPr>
                    <w:t>/</w:t>
                  </w:r>
                  <w:r>
                    <w:rPr>
                      <w:rFonts w:hint="default" w:ascii="Times New Roman" w:hAnsi="Times New Roman" w:eastAsia="宋体" w:cs="Times New Roman"/>
                      <w:color w:val="auto"/>
                      <w:spacing w:val="-5"/>
                      <w:sz w:val="21"/>
                      <w:szCs w:val="21"/>
                    </w:rPr>
                    <w:t>L</w:t>
                  </w:r>
                  <w:r>
                    <w:rPr>
                      <w:rFonts w:hint="default" w:ascii="Times New Roman" w:hAnsi="Times New Roman" w:eastAsia="宋体" w:cs="Times New Roman"/>
                      <w:color w:val="auto"/>
                      <w:sz w:val="21"/>
                      <w:szCs w:val="21"/>
                    </w:rPr>
                    <w:t>）</w:t>
                  </w:r>
                </w:p>
              </w:tc>
              <w:tc>
                <w:tcPr>
                  <w:tcW w:w="998" w:type="dxa"/>
                  <w:tcBorders>
                    <w:top w:val="single" w:color="000000" w:sz="4" w:space="0"/>
                    <w:left w:val="single" w:color="000000" w:sz="4" w:space="0"/>
                    <w:bottom w:val="single" w:color="000000" w:sz="12" w:space="0"/>
                    <w:right w:val="single" w:color="000000" w:sz="4" w:space="0"/>
                  </w:tcBorders>
                  <w:vAlign w:val="center"/>
                </w:tcPr>
                <w:p>
                  <w:pPr>
                    <w:pStyle w:val="47"/>
                    <w:kinsoku w:val="0"/>
                    <w:overflowPunct w:val="0"/>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1"/>
                      <w:szCs w:val="21"/>
                    </w:rPr>
                    <w:t>6~9</w:t>
                  </w:r>
                </w:p>
              </w:tc>
              <w:tc>
                <w:tcPr>
                  <w:tcW w:w="1042" w:type="dxa"/>
                  <w:tcBorders>
                    <w:top w:val="single" w:color="000000" w:sz="4" w:space="0"/>
                    <w:left w:val="single" w:color="000000" w:sz="4" w:space="0"/>
                    <w:bottom w:val="single" w:color="000000" w:sz="12" w:space="0"/>
                    <w:right w:val="single" w:color="000000" w:sz="4" w:space="0"/>
                  </w:tcBorders>
                  <w:vAlign w:val="center"/>
                </w:tcPr>
                <w:p>
                  <w:pPr>
                    <w:pStyle w:val="47"/>
                    <w:kinsoku w:val="0"/>
                    <w:overflowPunct w:val="0"/>
                    <w:ind w:left="373" w:right="371"/>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1"/>
                      <w:szCs w:val="21"/>
                    </w:rPr>
                    <w:t>30</w:t>
                  </w:r>
                </w:p>
              </w:tc>
              <w:tc>
                <w:tcPr>
                  <w:tcW w:w="999" w:type="dxa"/>
                  <w:tcBorders>
                    <w:top w:val="single" w:color="000000" w:sz="4" w:space="0"/>
                    <w:left w:val="single" w:color="000000" w:sz="4" w:space="0"/>
                    <w:bottom w:val="single" w:color="000000" w:sz="12" w:space="0"/>
                    <w:right w:val="single" w:color="000000" w:sz="4" w:space="0"/>
                  </w:tcBorders>
                  <w:vAlign w:val="center"/>
                </w:tcPr>
                <w:p>
                  <w:pPr>
                    <w:pStyle w:val="47"/>
                    <w:kinsoku w:val="0"/>
                    <w:overflowPunct w:val="0"/>
                    <w:ind w:left="2"/>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1"/>
                      <w:szCs w:val="21"/>
                    </w:rPr>
                    <w:t>6.0</w:t>
                  </w:r>
                </w:p>
              </w:tc>
              <w:tc>
                <w:tcPr>
                  <w:tcW w:w="996" w:type="dxa"/>
                  <w:tcBorders>
                    <w:top w:val="single" w:color="000000" w:sz="4" w:space="0"/>
                    <w:left w:val="single" w:color="000000" w:sz="4" w:space="0"/>
                    <w:bottom w:val="single" w:color="000000" w:sz="12" w:space="0"/>
                    <w:right w:val="single" w:color="000000" w:sz="4" w:space="0"/>
                  </w:tcBorders>
                  <w:vAlign w:val="center"/>
                </w:tcPr>
                <w:p>
                  <w:pPr>
                    <w:pStyle w:val="47"/>
                    <w:kinsoku w:val="0"/>
                    <w:overflowPunct w:val="0"/>
                    <w:ind w:right="5"/>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1"/>
                      <w:szCs w:val="21"/>
                    </w:rPr>
                    <w:t>1.5</w:t>
                  </w:r>
                </w:p>
              </w:tc>
              <w:tc>
                <w:tcPr>
                  <w:tcW w:w="1093" w:type="dxa"/>
                  <w:tcBorders>
                    <w:top w:val="single" w:color="000000" w:sz="4" w:space="0"/>
                    <w:left w:val="single" w:color="000000" w:sz="4" w:space="0"/>
                    <w:bottom w:val="single" w:color="000000" w:sz="12" w:space="0"/>
                    <w:right w:val="nil"/>
                  </w:tcBorders>
                  <w:vAlign w:val="center"/>
                </w:tcPr>
                <w:p>
                  <w:pPr>
                    <w:pStyle w:val="47"/>
                    <w:kinsoku w:val="0"/>
                    <w:overflowPunct w:val="0"/>
                    <w:ind w:left="369" w:right="371"/>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1"/>
                      <w:szCs w:val="21"/>
                    </w:rPr>
                    <w:t>0.3</w:t>
                  </w:r>
                </w:p>
              </w:tc>
            </w:tr>
          </w:tbl>
          <w:p>
            <w:pPr>
              <w:pStyle w:val="47"/>
              <w:spacing w:before="1"/>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lang w:val="en-US" w:eastAsia="zh-CN"/>
              </w:rPr>
              <w:t>3</w:t>
            </w:r>
            <w:r>
              <w:rPr>
                <w:rFonts w:hint="default" w:ascii="Times New Roman" w:hAnsi="Times New Roman" w:eastAsia="宋体" w:cs="Times New Roman"/>
                <w:b/>
                <w:bCs/>
                <w:sz w:val="24"/>
              </w:rPr>
              <w:t>、噪声</w:t>
            </w:r>
          </w:p>
          <w:p>
            <w:pPr>
              <w:pStyle w:val="47"/>
              <w:keepNext w:val="0"/>
              <w:keepLines w:val="0"/>
              <w:pageBreakBefore w:val="0"/>
              <w:widowControl/>
              <w:kinsoku/>
              <w:wordWrap/>
              <w:overflowPunct/>
              <w:topLinePunct w:val="0"/>
              <w:autoSpaceDE/>
              <w:autoSpaceDN/>
              <w:bidi w:val="0"/>
              <w:adjustRightInd w:val="0"/>
              <w:snapToGrid w:val="0"/>
              <w:spacing w:after="0" w:line="360" w:lineRule="auto"/>
              <w:ind w:left="471"/>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运营期厂界噪声执行《工业企业厂界环境噪声排放标准》</w:t>
            </w:r>
          </w:p>
          <w:p>
            <w:pPr>
              <w:pStyle w:val="47"/>
              <w:keepNext w:val="0"/>
              <w:keepLines w:val="0"/>
              <w:pageBreakBefore w:val="0"/>
              <w:widowControl/>
              <w:kinsoku/>
              <w:wordWrap/>
              <w:overflowPunct/>
              <w:topLinePunct w:val="0"/>
              <w:autoSpaceDE/>
              <w:autoSpaceDN/>
              <w:bidi w:val="0"/>
              <w:adjustRightInd w:val="0"/>
              <w:snapToGrid w:val="0"/>
              <w:spacing w:after="0" w:line="360" w:lineRule="auto"/>
              <w:ind w:left="-9"/>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（GB12348-2008）中的 2 类标准，见表1-</w:t>
            </w:r>
            <w:r>
              <w:rPr>
                <w:rFonts w:hint="eastAsia" w:ascii="Times New Roman" w:hAnsi="Times New Roman" w:cs="Times New Roman"/>
                <w:sz w:val="24"/>
                <w:lang w:val="en-US" w:eastAsia="zh-CN"/>
              </w:rPr>
              <w:t>8</w:t>
            </w:r>
            <w:r>
              <w:rPr>
                <w:rFonts w:hint="default" w:ascii="Times New Roman" w:hAnsi="Times New Roman" w:eastAsia="宋体" w:cs="Times New Roman"/>
                <w:sz w:val="24"/>
              </w:rPr>
              <w:t>。</w:t>
            </w:r>
          </w:p>
          <w:p>
            <w:pPr>
              <w:pStyle w:val="47"/>
              <w:tabs>
                <w:tab w:val="left" w:pos="1173"/>
              </w:tabs>
              <w:spacing w:before="160"/>
              <w:ind w:right="91"/>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sz w:val="21"/>
              </w:rPr>
              <w:t>表</w:t>
            </w:r>
            <w:r>
              <w:rPr>
                <w:rFonts w:hint="default" w:ascii="Times New Roman" w:hAnsi="Times New Roman" w:eastAsia="宋体" w:cs="Times New Roman"/>
                <w:b/>
                <w:spacing w:val="-52"/>
                <w:sz w:val="21"/>
              </w:rPr>
              <w:t xml:space="preserve"> </w:t>
            </w:r>
            <w:r>
              <w:rPr>
                <w:rFonts w:hint="default" w:ascii="Times New Roman" w:hAnsi="Times New Roman" w:eastAsia="宋体" w:cs="Times New Roman"/>
                <w:b/>
                <w:sz w:val="21"/>
              </w:rPr>
              <w:t>1-</w:t>
            </w:r>
            <w:r>
              <w:rPr>
                <w:rFonts w:hint="eastAsia" w:ascii="Times New Roman" w:hAnsi="Times New Roman" w:cs="Times New Roman"/>
                <w:b/>
                <w:sz w:val="21"/>
                <w:lang w:val="en-US" w:eastAsia="zh-CN"/>
              </w:rPr>
              <w:t>8</w:t>
            </w:r>
            <w:r>
              <w:rPr>
                <w:rFonts w:hint="default" w:ascii="Times New Roman" w:hAnsi="Times New Roman" w:eastAsia="宋体" w:cs="Times New Roman"/>
                <w:b/>
                <w:sz w:val="21"/>
              </w:rPr>
              <w:tab/>
            </w:r>
            <w:r>
              <w:rPr>
                <w:rFonts w:hint="default" w:ascii="Times New Roman" w:hAnsi="Times New Roman" w:eastAsia="宋体" w:cs="Times New Roman"/>
                <w:b/>
                <w:sz w:val="21"/>
              </w:rPr>
              <w:t>厂界噪声标准限值</w:t>
            </w:r>
          </w:p>
          <w:tbl>
            <w:tblPr>
              <w:tblStyle w:val="24"/>
              <w:tblW w:w="70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1826"/>
              <w:gridCol w:w="30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2153"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Lines="0" w:line="240" w:lineRule="auto"/>
                    <w:ind w:left="0" w:firstLine="0" w:firstLineChars="0"/>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环境要素</w:t>
                  </w:r>
                </w:p>
              </w:tc>
              <w:tc>
                <w:tcPr>
                  <w:tcW w:w="1826"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Lines="0" w:line="240" w:lineRule="auto"/>
                    <w:ind w:left="0" w:firstLine="0"/>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项目</w:t>
                  </w:r>
                </w:p>
              </w:tc>
              <w:tc>
                <w:tcPr>
                  <w:tcW w:w="3059" w:type="dxa"/>
                  <w:tcBorders>
                    <w:tl2br w:val="nil"/>
                    <w:tr2bl w:val="nil"/>
                  </w:tcBorders>
                  <w:vAlign w:val="center"/>
                </w:tcPr>
                <w:p>
                  <w:pPr>
                    <w:pStyle w:val="11"/>
                    <w:keepNext w:val="0"/>
                    <w:keepLines w:val="0"/>
                    <w:pageBreakBefore w:val="0"/>
                    <w:widowControl w:val="0"/>
                    <w:kinsoku/>
                    <w:wordWrap/>
                    <w:overflowPunct/>
                    <w:topLinePunct w:val="0"/>
                    <w:autoSpaceDE/>
                    <w:autoSpaceDN/>
                    <w:bidi w:val="0"/>
                    <w:adjustRightInd w:val="0"/>
                    <w:snapToGrid w:val="0"/>
                    <w:spacing w:after="0" w:afterLines="0" w:line="240" w:lineRule="auto"/>
                    <w:ind w:left="0" w:firstLine="0"/>
                    <w:jc w:val="center"/>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标准（</w:t>
                  </w:r>
                  <w:r>
                    <w:rPr>
                      <w:rFonts w:hint="default" w:ascii="Times New Roman" w:hAnsi="Times New Roman" w:eastAsia="宋体" w:cs="Times New Roman"/>
                      <w:b/>
                      <w:color w:val="auto"/>
                      <w:spacing w:val="4"/>
                      <w:sz w:val="21"/>
                      <w:szCs w:val="21"/>
                      <w:highlight w:val="none"/>
                    </w:rPr>
                    <w:t>dB(A)</w:t>
                  </w:r>
                  <w:r>
                    <w:rPr>
                      <w:rFonts w:hint="default" w:ascii="Times New Roman" w:hAnsi="Times New Roman" w:eastAsia="宋体" w:cs="Times New Roman"/>
                      <w:b/>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215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ind w:left="0" w:firstLine="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声环境</w:t>
                  </w:r>
                </w:p>
              </w:tc>
              <w:tc>
                <w:tcPr>
                  <w:tcW w:w="18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ind w:left="0" w:firstLine="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昼间</w:t>
                  </w:r>
                </w:p>
              </w:tc>
              <w:tc>
                <w:tcPr>
                  <w:tcW w:w="3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ind w:left="0" w:firstLine="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215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ind w:left="0" w:firstLine="0"/>
                    <w:jc w:val="center"/>
                    <w:textAlignment w:val="auto"/>
                    <w:rPr>
                      <w:rFonts w:hint="default" w:ascii="Times New Roman" w:hAnsi="Times New Roman" w:eastAsia="宋体" w:cs="Times New Roman"/>
                      <w:color w:val="auto"/>
                      <w:sz w:val="21"/>
                      <w:szCs w:val="21"/>
                      <w:highlight w:val="none"/>
                    </w:rPr>
                  </w:pPr>
                </w:p>
              </w:tc>
              <w:tc>
                <w:tcPr>
                  <w:tcW w:w="18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ind w:left="0" w:firstLine="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夜间</w:t>
                  </w:r>
                  <w:r>
                    <w:rPr>
                      <w:rFonts w:hint="default" w:ascii="Times New Roman" w:hAnsi="Times New Roman" w:eastAsia="宋体" w:cs="Times New Roman"/>
                      <w:color w:val="auto"/>
                      <w:sz w:val="21"/>
                      <w:szCs w:val="21"/>
                      <w:highlight w:val="none"/>
                    </w:rPr>
                    <w:cr/>
                  </w:r>
                </w:p>
              </w:tc>
              <w:tc>
                <w:tcPr>
                  <w:tcW w:w="3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ind w:left="0" w:firstLine="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50</w:t>
                  </w:r>
                </w:p>
              </w:tc>
            </w:tr>
          </w:tbl>
          <w:p>
            <w:pPr>
              <w:pStyle w:val="35"/>
              <w:keepNext w:val="0"/>
              <w:keepLines w:val="0"/>
              <w:pageBreakBefore w:val="0"/>
              <w:kinsoku/>
              <w:wordWrap/>
              <w:overflowPunct/>
              <w:topLinePunct w:val="0"/>
              <w:autoSpaceDE/>
              <w:autoSpaceDN/>
              <w:bidi w:val="0"/>
              <w:adjustRightInd w:val="0"/>
              <w:snapToGrid w:val="0"/>
              <w:spacing w:after="0" w:line="360" w:lineRule="auto"/>
              <w:jc w:val="left"/>
              <w:rPr>
                <w:rFonts w:hint="default" w:ascii="Times New Roman" w:hAnsi="Times New Roman" w:eastAsia="宋体" w:cs="Times New Roman"/>
                <w:b w:val="0"/>
                <w:bCs w:val="0"/>
                <w:lang w:val="en-US" w:eastAsia="zh-CN"/>
              </w:rPr>
            </w:pPr>
          </w:p>
          <w:p>
            <w:pPr>
              <w:pStyle w:val="35"/>
              <w:keepNext w:val="0"/>
              <w:keepLines w:val="0"/>
              <w:pageBreakBefore w:val="0"/>
              <w:kinsoku/>
              <w:wordWrap/>
              <w:overflowPunct/>
              <w:topLinePunct w:val="0"/>
              <w:autoSpaceDE/>
              <w:autoSpaceDN/>
              <w:bidi w:val="0"/>
              <w:adjustRightInd w:val="0"/>
              <w:snapToGrid w:val="0"/>
              <w:spacing w:after="0" w:line="360" w:lineRule="auto"/>
              <w:jc w:val="left"/>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val="en-US" w:eastAsia="zh-CN"/>
              </w:rPr>
              <w:t>4、</w:t>
            </w:r>
            <w:r>
              <w:rPr>
                <w:rFonts w:hint="default" w:ascii="Times New Roman" w:hAnsi="Times New Roman" w:eastAsia="宋体" w:cs="Times New Roman"/>
                <w:b/>
                <w:bCs/>
                <w:sz w:val="24"/>
                <w:szCs w:val="24"/>
                <w:lang w:eastAsia="zh-CN"/>
              </w:rPr>
              <w:t>固体废物：</w:t>
            </w:r>
          </w:p>
          <w:p>
            <w:pPr>
              <w:keepNext w:val="0"/>
              <w:keepLines w:val="0"/>
              <w:pageBreakBefore w:val="0"/>
              <w:kinsoku/>
              <w:wordWrap/>
              <w:overflowPunct/>
              <w:topLinePunct w:val="0"/>
              <w:autoSpaceDE/>
              <w:autoSpaceDN/>
              <w:bidi w:val="0"/>
              <w:adjustRightInd w:val="0"/>
              <w:snapToGrid w:val="0"/>
              <w:spacing w:after="0" w:afterLines="0" w:line="360" w:lineRule="auto"/>
              <w:ind w:firstLine="440"/>
              <w:rPr>
                <w:rFonts w:hint="default" w:ascii="Times New Roman" w:hAnsi="Times New Roman" w:eastAsia="宋体" w:cs="Times New Roman"/>
                <w:lang w:val="en-US" w:eastAsia="zh-CN"/>
              </w:rPr>
            </w:pPr>
            <w:r>
              <w:rPr>
                <w:rFonts w:hint="default" w:ascii="Times New Roman" w:hAnsi="Times New Roman" w:eastAsia="宋体" w:cs="Times New Roman"/>
                <w:sz w:val="24"/>
                <w:szCs w:val="24"/>
              </w:rPr>
              <w:t>按照一般固体废物执行《一般工业固体废物贮存、处置场污染控制标准》（GB18599-20</w:t>
            </w:r>
            <w:r>
              <w:rPr>
                <w:rFonts w:hint="eastAsia"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）及相关修改标准；危险废物执行《危险废物贮存污染控制标准》（GB18597-2001）及相关修改标准</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color w:val="auto"/>
                <w:sz w:val="24"/>
                <w:szCs w:val="24"/>
                <w:highlight w:val="none"/>
                <w:lang w:val="en-US" w:eastAsia="zh-CN"/>
              </w:rPr>
              <w:t xml:space="preserve">                                                                                             </w:t>
            </w:r>
          </w:p>
          <w:p>
            <w:pPr>
              <w:pStyle w:val="35"/>
              <w:rPr>
                <w:rFonts w:hint="default"/>
                <w:lang w:eastAsia="zh-CN"/>
              </w:rPr>
            </w:pPr>
          </w:p>
        </w:tc>
      </w:tr>
    </w:tbl>
    <w:p>
      <w:pPr>
        <w:spacing w:after="0" w:afterLines="0" w:line="240" w:lineRule="auto"/>
        <w:outlineLvl w:val="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color w:val="auto"/>
          <w:sz w:val="21"/>
          <w:szCs w:val="21"/>
          <w:highlight w:val="none"/>
        </w:rPr>
        <w:br w:type="page"/>
      </w:r>
      <w:bookmarkStart w:id="47" w:name="_Toc31267"/>
      <w:r>
        <w:rPr>
          <w:rStyle w:val="37"/>
          <w:rFonts w:hint="default" w:ascii="Times New Roman" w:hAnsi="Times New Roman" w:eastAsia="宋体" w:cs="Times New Roman"/>
          <w:b/>
          <w:bCs/>
          <w:color w:val="auto"/>
          <w:highlight w:val="none"/>
        </w:rPr>
        <w:t>表二</w:t>
      </w:r>
      <w:r>
        <w:rPr>
          <w:rStyle w:val="37"/>
          <w:rFonts w:hint="eastAsia" w:ascii="Times New Roman" w:hAnsi="Times New Roman" w:eastAsia="宋体" w:cs="Times New Roman"/>
          <w:b/>
          <w:bCs/>
          <w:color w:val="auto"/>
          <w:highlight w:val="none"/>
          <w:lang w:val="en-US" w:eastAsia="zh-CN"/>
        </w:rPr>
        <w:t xml:space="preserve">   </w:t>
      </w:r>
      <w:r>
        <w:rPr>
          <w:rStyle w:val="37"/>
          <w:rFonts w:hint="default" w:ascii="Times New Roman" w:hAnsi="Times New Roman" w:eastAsia="宋体" w:cs="Times New Roman"/>
          <w:b/>
          <w:bCs/>
          <w:color w:val="auto"/>
          <w:highlight w:val="none"/>
        </w:rPr>
        <w:t>建设项目工程概况</w:t>
      </w:r>
      <w:bookmarkEnd w:id="47"/>
    </w:p>
    <w:tbl>
      <w:tblPr>
        <w:tblStyle w:val="24"/>
        <w:tblW w:w="94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39" w:hRule="atLeast"/>
          <w:jc w:val="center"/>
        </w:trPr>
        <w:tc>
          <w:tcPr>
            <w:tcW w:w="9478" w:type="dxa"/>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both"/>
              <w:textAlignment w:val="auto"/>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eastAsiaTheme="minorEastAsia"/>
                <w:b/>
                <w:bCs/>
                <w:sz w:val="24"/>
                <w:szCs w:val="24"/>
                <w:lang w:val="en-US" w:eastAsia="zh-CN"/>
              </w:rPr>
              <w:t xml:space="preserve">2.1工程建设内容 </w:t>
            </w:r>
          </w:p>
          <w:p>
            <w:pPr>
              <w:spacing w:before="158"/>
              <w:ind w:right="0" w:firstLine="482" w:firstLineChars="200"/>
              <w:jc w:val="left"/>
              <w:rPr>
                <w:rFonts w:hint="default" w:ascii="Times New Roman" w:hAnsi="Times New Roman" w:cs="Times New Roman" w:eastAsiaTheme="minorEastAsia"/>
                <w:b/>
                <w:bCs/>
                <w:sz w:val="24"/>
                <w:szCs w:val="24"/>
                <w:lang w:val="en-US" w:eastAsia="zh-CN"/>
              </w:rPr>
            </w:pPr>
            <w:r>
              <w:rPr>
                <w:rFonts w:hint="eastAsia" w:ascii="Times New Roman" w:hAnsi="Times New Roman" w:cs="Times New Roman" w:eastAsiaTheme="minorEastAsia"/>
                <w:b/>
                <w:bCs/>
                <w:sz w:val="24"/>
                <w:szCs w:val="24"/>
                <w:lang w:val="en-US" w:eastAsia="zh-CN"/>
              </w:rPr>
              <w:t>2.1.1</w:t>
            </w:r>
            <w:r>
              <w:rPr>
                <w:rFonts w:hint="default" w:ascii="Times New Roman" w:hAnsi="Times New Roman" w:cs="Times New Roman" w:eastAsiaTheme="minorEastAsia"/>
                <w:b/>
                <w:bCs/>
                <w:sz w:val="24"/>
                <w:szCs w:val="24"/>
                <w:lang w:val="en-US" w:eastAsia="zh-CN"/>
              </w:rPr>
              <w:t>基本情况</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项目名称：成都工业学院宜宾产教融合实训基地建设项目</w:t>
            </w:r>
          </w:p>
          <w:p>
            <w:pPr>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项目性质：</w:t>
            </w:r>
            <w:r>
              <w:rPr>
                <w:rFonts w:hint="eastAsia" w:asciiTheme="minorEastAsia" w:hAnsiTheme="minorEastAsia" w:eastAsiaTheme="minorEastAsia" w:cstheme="minorEastAsia"/>
                <w:sz w:val="24"/>
                <w:szCs w:val="24"/>
                <w:lang w:val="en-US" w:eastAsia="zh-CN"/>
              </w:rPr>
              <w:t>新建</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建设单位：宜宾市科教产业投资集团有限公司</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建设地点：宜宾临港经济技术开发区大学城内双城街道</w:t>
            </w:r>
          </w:p>
          <w:p>
            <w:pPr>
              <w:ind w:firstLine="480" w:firstLineChars="200"/>
              <w:rPr>
                <w:rFonts w:hint="eastAsia" w:eastAsiaTheme="minorEastAsia"/>
                <w:lang w:val="en-US" w:eastAsia="zh-CN"/>
              </w:rPr>
            </w:pPr>
            <w:r>
              <w:rPr>
                <w:rFonts w:hint="eastAsia" w:asciiTheme="minorEastAsia" w:hAnsiTheme="minorEastAsia" w:eastAsiaTheme="minorEastAsia" w:cstheme="minorEastAsia"/>
                <w:sz w:val="24"/>
                <w:szCs w:val="24"/>
              </w:rPr>
              <w:t>实际工程总投资：</w:t>
            </w:r>
            <w:r>
              <w:rPr>
                <w:rFonts w:hint="eastAsia" w:asciiTheme="minorEastAsia" w:hAnsiTheme="minorEastAsia" w:eastAsiaTheme="minorEastAsia" w:cstheme="minorEastAsia"/>
                <w:sz w:val="24"/>
                <w:szCs w:val="24"/>
                <w:lang w:val="en-US" w:eastAsia="zh-CN"/>
              </w:rPr>
              <w:t>100830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一期</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both"/>
              <w:textAlignment w:val="auto"/>
              <w:rPr>
                <w:rFonts w:hint="default" w:ascii="Times New Roman" w:hAnsi="Times New Roman" w:cs="Times New Roman" w:eastAsiaTheme="minorEastAsia"/>
                <w:b/>
                <w:bCs/>
                <w:sz w:val="24"/>
                <w:szCs w:val="24"/>
                <w:highlight w:val="none"/>
                <w:lang w:val="en-US" w:eastAsia="zh-CN"/>
              </w:rPr>
            </w:pPr>
            <w:r>
              <w:rPr>
                <w:rFonts w:hint="default" w:ascii="Times New Roman" w:hAnsi="Times New Roman" w:cs="Times New Roman" w:eastAsiaTheme="minorEastAsia"/>
                <w:b/>
                <w:bCs/>
                <w:sz w:val="24"/>
                <w:szCs w:val="24"/>
                <w:highlight w:val="none"/>
                <w:lang w:val="en-US" w:eastAsia="zh-CN"/>
              </w:rPr>
              <w:t>2.1.</w:t>
            </w:r>
            <w:r>
              <w:rPr>
                <w:rFonts w:hint="eastAsia" w:ascii="Times New Roman" w:hAnsi="Times New Roman" w:cs="Times New Roman" w:eastAsiaTheme="minorEastAsia"/>
                <w:b/>
                <w:bCs/>
                <w:sz w:val="24"/>
                <w:szCs w:val="24"/>
                <w:highlight w:val="none"/>
                <w:lang w:val="en-US" w:eastAsia="zh-CN"/>
              </w:rPr>
              <w:t>2</w:t>
            </w:r>
            <w:r>
              <w:rPr>
                <w:rFonts w:hint="default" w:ascii="Times New Roman" w:hAnsi="Times New Roman" w:cs="Times New Roman" w:eastAsiaTheme="minorEastAsia"/>
                <w:b/>
                <w:bCs/>
                <w:sz w:val="24"/>
                <w:szCs w:val="24"/>
                <w:highlight w:val="none"/>
                <w:lang w:val="en-US" w:eastAsia="zh-CN"/>
              </w:rPr>
              <w:t>地理位置及平面布置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宜宾位于四川盆地南部，是川、滇、黔三省交汇地。东靠万里长江，西接大小凉山，南近滇、黔，北连川中腹地，素为川南形胜。自古以来，宜宾就是川南、滇东北和黔西北一带重要的物资集散地和交通要冲。</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宜宾全区地跨东经103°36′—105°20′，北纬27°50′—29°16′之间。东西最大横距153.2千米，南北最大纵距150.4千米。市境东临四川泸州市，南接云南昭通市，西界乐山市和凉山彝族自治州，北靠自贡市。</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本项目为成都工业学院宜宾产教融合实训基地建设项目，项目位于大学路以北，观斗山以南，临近成都理工大学产业技术学院东北侧，西接配套共享中心，西北侧为规划预留大学用地。校园以“一核、两轴、一脉、六园”的形式组织规划。一核以图书馆为几何中心，两轴为学校的礼仪之轴和生长之轴。一脉为依托学校水系打造的自然绿脉。六园为依托绿脉打造的校园景观。 项目以图书馆为核心，教学楼群、实验楼群位于项目的东侧；学生宿舍位于项目北侧；专业实验楼、专业实训楼、学生活动中心、体育训练中心位于项目的西侧；教学周转住房位于项目南侧。整个平面布局井然有序，沿着校园主轴依次串联教学实验区、图书行政区，学生活动中心和体育训练区，沿生长次轴依次串联科研孵化区，产教融合区。学生生活区和教师周转房沿校园内环展开。</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同时项目西侧规划的为城市次干道文体路，东侧规划的为城市主干道大学路，北侧规划的为城市次干道环湾路，交通便利。</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具体地理位置见附图1，项目外环境关系图见附图2，项目平面布置图见附图3。</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2" w:firstLineChars="200"/>
              <w:textAlignment w:val="auto"/>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eastAsiaTheme="minorEastAsia"/>
                <w:b/>
                <w:bCs/>
                <w:sz w:val="24"/>
                <w:szCs w:val="24"/>
                <w:lang w:val="en-US" w:eastAsia="zh-CN"/>
              </w:rPr>
              <w:t>2.1.2验收范围</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eastAsiaTheme="minorEastAsia"/>
                <w:lang w:val="en-US" w:eastAsia="zh-CN"/>
              </w:rPr>
            </w:pPr>
            <w:r>
              <w:rPr>
                <w:rFonts w:hint="eastAsia" w:asciiTheme="minorEastAsia" w:hAnsiTheme="minorEastAsia" w:eastAsiaTheme="minorEastAsia" w:cstheme="minorEastAsia"/>
                <w:sz w:val="24"/>
                <w:szCs w:val="24"/>
                <w:lang w:val="en-US" w:eastAsia="zh-CN"/>
              </w:rPr>
              <w:t>成</w:t>
            </w:r>
            <w:r>
              <w:rPr>
                <w:rFonts w:hint="eastAsia" w:asciiTheme="minorEastAsia" w:hAnsiTheme="minorEastAsia" w:eastAsiaTheme="minorEastAsia" w:cstheme="minorEastAsia"/>
                <w:sz w:val="24"/>
                <w:szCs w:val="24"/>
              </w:rPr>
              <w:t>都工业学院宜宾产教融合实训基地建设项目</w:t>
            </w:r>
            <w:r>
              <w:rPr>
                <w:rFonts w:hint="eastAsia" w:asciiTheme="minorEastAsia" w:hAnsiTheme="minorEastAsia" w:eastAsiaTheme="minorEastAsia" w:cstheme="minorEastAsia"/>
                <w:sz w:val="24"/>
                <w:szCs w:val="24"/>
                <w:lang w:val="en-US" w:eastAsia="zh-CN"/>
              </w:rPr>
              <w:t>分两期建设，分期验收。目前一期工程建设完成已投入使用，二期工程在建设中。本次验收范围为已建成和投入运行的一期工程，具体范围如下：</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主体工程：图书馆、教学楼群、基础实验楼群</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辅助工程：应急柴油发电机房、医疗室、停车位</w:t>
            </w:r>
          </w:p>
          <w:p>
            <w:pPr>
              <w:pStyle w:val="19"/>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公用工程：供电、供水、供气、管网、道路、供热</w:t>
            </w:r>
          </w:p>
          <w:p>
            <w:pPr>
              <w:pStyle w:val="23"/>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color w:val="auto"/>
                <w:szCs w:val="21"/>
                <w:highlight w:val="none"/>
                <w:lang w:eastAsia="zh-CN"/>
              </w:rPr>
            </w:pPr>
            <w:r>
              <w:rPr>
                <w:rFonts w:hint="eastAsia" w:ascii="宋体" w:hAnsi="宋体" w:eastAsia="宋体" w:cs="宋体"/>
                <w:b w:val="0"/>
                <w:bCs w:val="0"/>
                <w:color w:val="000000"/>
                <w:sz w:val="24"/>
                <w:szCs w:val="24"/>
                <w:lang w:val="en-US" w:eastAsia="zh-CN" w:bidi="ar-SA"/>
              </w:rPr>
              <w:t>办公生活设施:</w:t>
            </w:r>
            <w:r>
              <w:rPr>
                <w:rFonts w:hint="eastAsia" w:ascii="宋体" w:hAnsi="宋体" w:eastAsia="宋体" w:cs="宋体"/>
                <w:color w:val="auto"/>
                <w:szCs w:val="21"/>
                <w:highlight w:val="none"/>
              </w:rPr>
              <w:t>食堂、室外运动场地、学生宿舍、教师周转房、景观水池</w:t>
            </w:r>
          </w:p>
          <w:p>
            <w:pPr>
              <w:pStyle w:val="23"/>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环保工程：</w:t>
            </w:r>
            <w:r>
              <w:rPr>
                <w:rFonts w:hint="default" w:ascii="宋体" w:hAnsi="宋体" w:eastAsia="宋体" w:cs="宋体"/>
                <w:b w:val="0"/>
                <w:bCs w:val="0"/>
                <w:sz w:val="24"/>
                <w:szCs w:val="24"/>
                <w:lang w:val="en-US" w:eastAsia="zh-CN"/>
              </w:rPr>
              <w:t>预处理、隔油池、中和池、油烟净化设备、垃圾收集房、通风橱系统、危险废物暂存间</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both"/>
              <w:textAlignment w:val="auto"/>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eastAsiaTheme="minorEastAsia"/>
                <w:b/>
                <w:bCs/>
                <w:sz w:val="24"/>
                <w:szCs w:val="24"/>
                <w:lang w:val="en-US" w:eastAsia="zh-CN"/>
              </w:rPr>
              <w:t>2.1.</w:t>
            </w:r>
            <w:r>
              <w:rPr>
                <w:rFonts w:hint="eastAsia" w:ascii="Times New Roman" w:hAnsi="Times New Roman" w:cs="Times New Roman" w:eastAsiaTheme="minorEastAsia"/>
                <w:b/>
                <w:bCs/>
                <w:sz w:val="24"/>
                <w:szCs w:val="24"/>
                <w:lang w:val="en-US" w:eastAsia="zh-CN"/>
              </w:rPr>
              <w:t>3</w:t>
            </w:r>
            <w:r>
              <w:rPr>
                <w:rFonts w:hint="default" w:ascii="Times New Roman" w:hAnsi="Times New Roman" w:cs="Times New Roman" w:eastAsiaTheme="minorEastAsia"/>
                <w:b/>
                <w:bCs/>
                <w:sz w:val="24"/>
                <w:szCs w:val="24"/>
                <w:lang w:val="en-US" w:eastAsia="zh-CN"/>
              </w:rPr>
              <w:t>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 xml:space="preserve">项目建设内容及变化情况详见下表2-1： </w:t>
            </w:r>
          </w:p>
          <w:p>
            <w:pPr>
              <w:pStyle w:val="18"/>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bidi="ar-SA"/>
              </w:rPr>
              <w:t>表2-1 项目组成及主要环境问题</w:t>
            </w:r>
          </w:p>
          <w:tbl>
            <w:tblPr>
              <w:tblStyle w:val="24"/>
              <w:tblpPr w:leftFromText="180" w:rightFromText="180" w:vertAnchor="text" w:horzAnchor="page" w:tblpX="42" w:tblpY="401"/>
              <w:tblOverlap w:val="never"/>
              <w:tblW w:w="943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6"/>
              <w:gridCol w:w="779"/>
              <w:gridCol w:w="5458"/>
              <w:gridCol w:w="24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名称</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环评主要工程内容</w:t>
                  </w:r>
                </w:p>
              </w:tc>
              <w:tc>
                <w:tcPr>
                  <w:tcW w:w="24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实际建设情况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主体</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工程</w:t>
                  </w: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rPr>
                    <w:t>图书馆</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1栋，7F，总建筑面积约30690m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位于校园主轴线上，地上7层/地下1层，负一层主要设置了机房、工具间、钢瓶间、10KV变电所、弱电进线间、操作间、咖啡厅、柴油发电机房、书库、书吧等；1F主要设置了贵宾室、报告厅、消防控制室、安保控制室、文献资源装订室、文献资源采访室、学科服务、文献验收加工室、信息咨询部、读者服务办公室、自助还书区、会议室、休息等候检索区、休息区、开放大厅、管理室等；2F主要设置中心机房、UPS应急用房、休息区、多功能室、综合档案馆、耗材设备用房等；3～7F位藏书室等；</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教学楼群</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3栋，5F，总建筑面积约22290m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，位于校园东北侧，地上5层，1F设置门厅、公共交流空间、变电所、办公管理、报告厅、消防值班室；2～5F设置教室、阶梯教室。</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基础实验楼群</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2栋，5F，总建筑面积约26517m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位于校园主轴北侧，A栋地上5层，B栋地上4层。A栋和B栋通过连廊连接起来。1F设置入口门厅休息厅、会议室、变电站、废液中转室、废固中转室、数学实验室、实训室；2F设置入口门厅、中心办公室、普通话实训室、教师辅导答疑办公室、计算机室、教学实验室；3F设置计算机学科专业实验室、计算机房、资料室、计算机准备室（库房）；4F设置云网络多功能语言实验室、专业教室、创新实验室、云网络语言实验室、化学实验室、教师工作室、机要保密室；5F设置开放性机房、准备室、电路分析实验室、专业教室、BIM虚拟仿真实验室、云网络多功能语言实验室、多功能研讨室、计算机学科专业实验室</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专业实训楼</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2栋，4F，位于项目南侧，总建筑面积15305m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其中1F设置入口门厅休息厅、实验实训车间、弱电间、弱电进线间、排烟机房、各类实训室、休息厅、卫生间、工具资料室、总成修理室、等；2F设置实验实训室、实验室、器材室、教师休息室；3F设置实验实训室、实验室、器材室、教师休息室；4F设置实验实训室、实验室、器材室、教师休息室；</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eastAsia" w:ascii="Times New Roman" w:hAnsi="Times New Roman" w:eastAsia="宋体" w:cs="Times New Roman"/>
                      <w:spacing w:val="0"/>
                      <w:w w:val="100"/>
                      <w:kern w:val="0"/>
                      <w:sz w:val="21"/>
                      <w:szCs w:val="21"/>
                      <w:lang w:val="en-US" w:eastAsia="zh-CN" w:bidi="ar-SA"/>
                    </w:rPr>
                    <w:t>二期工程，建设中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rPr>
                    <w:t>学生活动中心</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1栋，3F，地上3层，总建筑面积约7375m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，位于校园西中部，其中1F设置入口门厅休息厅、观众厅、舞台、配电间、弱电进线间、排烟机房等；2～3F设置排练室、琴房、休息厅、强弱电间、卫生间等；</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eastAsia" w:ascii="Times New Roman" w:hAnsi="Times New Roman" w:eastAsia="宋体" w:cs="Times New Roman"/>
                      <w:spacing w:val="0"/>
                      <w:w w:val="100"/>
                      <w:kern w:val="0"/>
                      <w:sz w:val="21"/>
                      <w:szCs w:val="21"/>
                      <w:lang w:val="en-US" w:eastAsia="zh-CN" w:bidi="ar-SA"/>
                    </w:rPr>
                    <w:t>二期工程，建设中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体育训练中心</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1栋，3F，地上3层，总建筑面积约5090m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，位于校园西侧，其中1F设置门厅、乒乓球区、卫生间、更衣间、淋浴间、进线间、配电间、值班安保、器材库、训练馆等；2F设置多功能房、体质测试房等；3F设置健身房、多功能排放等；</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eastAsia" w:ascii="Times New Roman" w:hAnsi="Times New Roman" w:eastAsia="宋体" w:cs="Times New Roman"/>
                      <w:spacing w:val="0"/>
                      <w:w w:val="100"/>
                      <w:kern w:val="0"/>
                      <w:sz w:val="21"/>
                      <w:szCs w:val="21"/>
                      <w:lang w:val="en-US" w:eastAsia="zh-CN" w:bidi="ar-SA"/>
                    </w:rPr>
                    <w:t>二期工程，建设中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9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辅助</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工程</w:t>
                  </w: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应急柴油发电机房</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项目设置2台备用的柴油发电机，1台位于图书馆地下，紧急供电范围为图书馆、公共教学楼、宿舍；另1台位于周转用房，紧急供电范围为周转用房、公共实验楼和学生活动中心，2台柴油发电机容量均为1000KW，每座柴油发电机房面积约为80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 xml:space="preserve">； </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医疗室</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设一个医务室，位于1#学生宿舍的1F，使用面积约50m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，设置药房、值班办公室及暂存间，只进行药品销售及对伤口进行简单包扎、消毒等，不涉及打针输液，不设置手术科室。</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停车位</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设置机动车停车位350个，其中地面为200个，地下为150个</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79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办公及生活设施</w:t>
                  </w: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食堂1</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1栋，3F/地下1F，位于项目北侧，总建筑面积11362.75m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其中地下1F设置寄存室、管理室、商铺、清真餐厅、售卖区、消毒间、白案室、加工区、主食区、副食区、更衣房；1F设置门厅、生活超市、就餐大厅、面包房、打荷区、禽类加工区、肉类加工区、操作间、办公室、更衣室、冷库、主食库、副食库、工具间、煤气表间；2F设置就餐大厅、操作间、后勤宿舍；</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室外运动场地</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rPr>
                  </w:pPr>
                  <w:r>
                    <w:rPr>
                      <w:rFonts w:hint="default" w:ascii="Times New Roman" w:hAnsi="Times New Roman" w:eastAsia="宋体" w:cs="Times New Roman"/>
                      <w:sz w:val="21"/>
                      <w:szCs w:val="21"/>
                    </w:rPr>
                    <w:t>1个，位于项目西北侧，为400m标准操场</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学生宿舍</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6栋，6F，地上6层，位于项目西北侧，总建筑面积52407m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。每层楼均设置卫生间、学生宿舍、楼梯间、水泵房等</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教师周转房</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2栋，位于项目南侧，其中1#楼建筑面积18170m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，地上10层/地下1层 ，38.7m；2#楼建筑面积13680m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，地上22层，67.8m。其中地下1层为地下车库、非机动车库、楼梯间、设备间、空调机房、水泵房、报警阀门。</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both"/>
                    <w:outlineLvl w:val="9"/>
                    <w:rPr>
                      <w:rFonts w:hint="default" w:ascii="Times New Roman" w:hAnsi="Times New Roman" w:eastAsia="宋体" w:cs="Times New Roman"/>
                      <w:spacing w:val="0"/>
                      <w:w w:val="100"/>
                      <w:kern w:val="0"/>
                      <w:sz w:val="21"/>
                      <w:szCs w:val="21"/>
                      <w:lang w:val="en-US" w:eastAsia="zh-CN" w:bidi="ar-SA"/>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栋，位于项目南侧，其中1#楼建筑面积18170m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，地上10层/地下1层 ，38.7m；地下1层为地下车库、非机动车库、楼梯间、设备间、空调机房、水泵房、报警阀门。</w:t>
                  </w:r>
                  <w:r>
                    <w:rPr>
                      <w:rFonts w:hint="eastAsia" w:ascii="Times New Roman" w:hAnsi="Times New Roman" w:eastAsia="宋体" w:cs="Times New Roman"/>
                      <w:sz w:val="21"/>
                      <w:szCs w:val="21"/>
                      <w:lang w:val="en-US" w:eastAsia="zh-CN"/>
                    </w:rPr>
                    <w:t>2#楼为二期工程，建设中。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体育训练中心</w:t>
                  </w:r>
                </w:p>
              </w:tc>
              <w:tc>
                <w:tcPr>
                  <w:tcW w:w="54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1栋，3F，位于项目南侧，建筑面积5596m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。地下1F为队员休息室、卫生间、淋浴间、进线间、配电间、嘉宾休息室、走廊等。</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eastAsia" w:ascii="Times New Roman" w:hAnsi="Times New Roman" w:eastAsia="宋体" w:cs="Times New Roman"/>
                      <w:spacing w:val="0"/>
                      <w:w w:val="100"/>
                      <w:kern w:val="0"/>
                      <w:sz w:val="21"/>
                      <w:szCs w:val="21"/>
                      <w:lang w:val="en-US" w:eastAsia="zh-CN" w:bidi="ar-SA"/>
                    </w:rPr>
                    <w:t>二期工程，建设中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pStyle w:val="64"/>
                    <w:keepNext w:val="0"/>
                    <w:keepLines w:val="0"/>
                    <w:pageBreakBefore w:val="0"/>
                    <w:kinsoku/>
                    <w:wordWrap/>
                    <w:overflowPunct/>
                    <w:topLinePunct w:val="0"/>
                    <w:autoSpaceDE/>
                    <w:autoSpaceDN/>
                    <w:bidi w:val="0"/>
                    <w:adjustRightInd/>
                    <w:snapToGrid w:val="0"/>
                    <w:spacing w:before="0" w:after="0" w:afterLines="0" w:line="240" w:lineRule="atLeast"/>
                    <w:jc w:val="center"/>
                    <w:outlineLvl w:val="9"/>
                    <w:rPr>
                      <w:rFonts w:hint="default" w:ascii="Times New Roman" w:hAnsi="Times New Roman" w:eastAsia="宋体" w:cs="Times New Roman"/>
                      <w:color w:val="auto"/>
                      <w:spacing w:val="0"/>
                      <w:w w:val="100"/>
                      <w:kern w:val="0"/>
                      <w:sz w:val="21"/>
                      <w:szCs w:val="21"/>
                      <w:lang w:val="en-US" w:eastAsia="zh-CN" w:bidi="ar-SA"/>
                    </w:rPr>
                  </w:pPr>
                  <w:r>
                    <w:rPr>
                      <w:rFonts w:hint="default" w:ascii="Times New Roman" w:hAnsi="Times New Roman" w:eastAsia="宋体" w:cs="Times New Roman"/>
                      <w:color w:val="auto"/>
                      <w:sz w:val="21"/>
                      <w:szCs w:val="21"/>
                    </w:rPr>
                    <w:t>景观水池</w:t>
                  </w:r>
                </w:p>
              </w:tc>
              <w:tc>
                <w:tcPr>
                  <w:tcW w:w="5458" w:type="dxa"/>
                  <w:tcBorders>
                    <w:tl2br w:val="nil"/>
                    <w:tr2bl w:val="nil"/>
                  </w:tcBorders>
                  <w:vAlign w:val="center"/>
                </w:tcPr>
                <w:p>
                  <w:pPr>
                    <w:pStyle w:val="64"/>
                    <w:keepNext w:val="0"/>
                    <w:keepLines w:val="0"/>
                    <w:pageBreakBefore w:val="0"/>
                    <w:kinsoku/>
                    <w:wordWrap/>
                    <w:overflowPunct/>
                    <w:topLinePunct w:val="0"/>
                    <w:autoSpaceDE/>
                    <w:autoSpaceDN/>
                    <w:bidi w:val="0"/>
                    <w:adjustRightInd/>
                    <w:snapToGrid w:val="0"/>
                    <w:spacing w:before="0" w:after="0" w:afterLines="0" w:line="240" w:lineRule="atLeast"/>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在项目北侧设置约1个景观水池，校园水体、周边校园雨水排水汇入校园水体作为补充水源</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9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公用</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工程</w:t>
                  </w: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afterLines="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供电</w:t>
                  </w:r>
                </w:p>
              </w:tc>
              <w:tc>
                <w:tcPr>
                  <w:tcW w:w="545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afterLines="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市政供电管网</w:t>
                  </w:r>
                </w:p>
              </w:tc>
              <w:tc>
                <w:tcPr>
                  <w:tcW w:w="2405" w:type="dxa"/>
                  <w:vMerge w:val="restart"/>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afterLines="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供水</w:t>
                  </w:r>
                </w:p>
              </w:tc>
              <w:tc>
                <w:tcPr>
                  <w:tcW w:w="545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afterLines="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市政供水管网</w:t>
                  </w:r>
                </w:p>
              </w:tc>
              <w:tc>
                <w:tcPr>
                  <w:tcW w:w="2405" w:type="dxa"/>
                  <w:vMerge w:val="continue"/>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afterLines="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供气</w:t>
                  </w:r>
                </w:p>
              </w:tc>
              <w:tc>
                <w:tcPr>
                  <w:tcW w:w="545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afterLines="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天然气管网</w:t>
                  </w:r>
                </w:p>
              </w:tc>
              <w:tc>
                <w:tcPr>
                  <w:tcW w:w="2405" w:type="dxa"/>
                  <w:vMerge w:val="continue"/>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afterLines="0" w:line="240" w:lineRule="atLeast"/>
                    <w:jc w:val="center"/>
                    <w:outlineLvl w:val="9"/>
                    <w:rPr>
                      <w:rFonts w:hint="default" w:ascii="Times New Roman" w:hAnsi="Times New Roman" w:eastAsia="宋体" w:cs="Times New Roman"/>
                      <w:color w:val="auto"/>
                      <w:spacing w:val="0"/>
                      <w:w w:val="100"/>
                      <w:kern w:val="0"/>
                      <w:sz w:val="21"/>
                      <w:szCs w:val="21"/>
                      <w:lang w:val="en-US" w:eastAsia="zh-CN" w:bidi="ar-SA"/>
                    </w:rPr>
                  </w:pPr>
                  <w:r>
                    <w:rPr>
                      <w:rFonts w:hint="default" w:ascii="Times New Roman" w:hAnsi="Times New Roman" w:eastAsia="宋体" w:cs="Times New Roman"/>
                      <w:color w:val="auto"/>
                      <w:sz w:val="21"/>
                      <w:szCs w:val="21"/>
                    </w:rPr>
                    <w:t>管网</w:t>
                  </w:r>
                </w:p>
              </w:tc>
              <w:tc>
                <w:tcPr>
                  <w:tcW w:w="545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afterLines="0" w:line="240" w:lineRule="atLeast"/>
                    <w:jc w:val="center"/>
                    <w:outlineLvl w:val="9"/>
                    <w:rPr>
                      <w:rFonts w:hint="default" w:ascii="Times New Roman" w:hAnsi="Times New Roman" w:eastAsia="宋体" w:cs="Times New Roman"/>
                      <w:color w:val="auto"/>
                      <w:spacing w:val="0"/>
                      <w:w w:val="100"/>
                      <w:kern w:val="0"/>
                      <w:sz w:val="21"/>
                      <w:szCs w:val="21"/>
                      <w:lang w:val="en-US" w:eastAsia="zh-CN" w:bidi="ar-SA"/>
                    </w:rPr>
                  </w:pPr>
                  <w:r>
                    <w:rPr>
                      <w:rFonts w:hint="default" w:ascii="Times New Roman" w:hAnsi="Times New Roman" w:eastAsia="宋体" w:cs="Times New Roman"/>
                      <w:color w:val="auto"/>
                      <w:sz w:val="21"/>
                      <w:szCs w:val="21"/>
                    </w:rPr>
                    <w:t>包括供水管网、供电管网、污水管网、天然气管网</w:t>
                  </w:r>
                </w:p>
              </w:tc>
              <w:tc>
                <w:tcPr>
                  <w:tcW w:w="2405" w:type="dxa"/>
                  <w:vMerge w:val="continue"/>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afterLines="0" w:line="240" w:lineRule="atLeast"/>
                    <w:jc w:val="center"/>
                    <w:outlineLvl w:val="9"/>
                    <w:rPr>
                      <w:rFonts w:hint="default" w:ascii="Times New Roman" w:hAnsi="Times New Roman" w:eastAsia="宋体" w:cs="Times New Roman"/>
                      <w:color w:val="auto"/>
                      <w:spacing w:val="0"/>
                      <w:w w:val="100"/>
                      <w:kern w:val="0"/>
                      <w:sz w:val="21"/>
                      <w:szCs w:val="21"/>
                      <w:lang w:val="en-US" w:eastAsia="zh-CN" w:bidi="ar-SA"/>
                    </w:rPr>
                  </w:pPr>
                  <w:r>
                    <w:rPr>
                      <w:rFonts w:hint="default" w:ascii="Times New Roman" w:hAnsi="Times New Roman" w:eastAsia="宋体" w:cs="Times New Roman"/>
                      <w:color w:val="auto"/>
                      <w:sz w:val="21"/>
                      <w:szCs w:val="21"/>
                    </w:rPr>
                    <w:t>道路</w:t>
                  </w:r>
                </w:p>
              </w:tc>
              <w:tc>
                <w:tcPr>
                  <w:tcW w:w="545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afterLines="0" w:line="240" w:lineRule="atLeast"/>
                    <w:jc w:val="center"/>
                    <w:outlineLvl w:val="9"/>
                    <w:rPr>
                      <w:rFonts w:hint="default" w:ascii="Times New Roman" w:hAnsi="Times New Roman" w:eastAsia="宋体" w:cs="Times New Roman"/>
                      <w:color w:val="auto"/>
                      <w:spacing w:val="0"/>
                      <w:w w:val="100"/>
                      <w:kern w:val="0"/>
                      <w:sz w:val="21"/>
                      <w:szCs w:val="21"/>
                      <w:lang w:val="en-US" w:eastAsia="zh-CN" w:bidi="ar-SA"/>
                    </w:rPr>
                  </w:pPr>
                  <w:r>
                    <w:rPr>
                      <w:rFonts w:hint="default" w:ascii="Times New Roman" w:hAnsi="Times New Roman" w:eastAsia="宋体" w:cs="Times New Roman"/>
                      <w:color w:val="auto"/>
                      <w:sz w:val="21"/>
                      <w:szCs w:val="21"/>
                    </w:rPr>
                    <w:t>设置人车分流的道路系统，道路宽度在7.5m以上，转弯半径不小于9米</w:t>
                  </w:r>
                </w:p>
              </w:tc>
              <w:tc>
                <w:tcPr>
                  <w:tcW w:w="2405" w:type="dxa"/>
                  <w:vMerge w:val="continue"/>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afterLines="0" w:line="240" w:lineRule="atLeast"/>
                    <w:jc w:val="center"/>
                    <w:outlineLvl w:val="9"/>
                    <w:rPr>
                      <w:rFonts w:hint="default" w:ascii="Times New Roman" w:hAnsi="Times New Roman" w:eastAsia="宋体" w:cs="Times New Roman"/>
                      <w:color w:val="auto"/>
                      <w:spacing w:val="0"/>
                      <w:w w:val="100"/>
                      <w:kern w:val="0"/>
                      <w:sz w:val="21"/>
                      <w:szCs w:val="21"/>
                      <w:lang w:val="en-US" w:eastAsia="zh-CN" w:bidi="ar-SA"/>
                    </w:rPr>
                  </w:pPr>
                  <w:r>
                    <w:rPr>
                      <w:rFonts w:hint="default" w:ascii="Times New Roman" w:hAnsi="Times New Roman" w:eastAsia="宋体" w:cs="Times New Roman"/>
                      <w:color w:val="auto"/>
                      <w:sz w:val="21"/>
                      <w:szCs w:val="21"/>
                    </w:rPr>
                    <w:t>供热</w:t>
                  </w:r>
                </w:p>
              </w:tc>
              <w:tc>
                <w:tcPr>
                  <w:tcW w:w="5458"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afterLines="0" w:line="240" w:lineRule="atLeast"/>
                    <w:jc w:val="center"/>
                    <w:outlineLvl w:val="9"/>
                    <w:rPr>
                      <w:rFonts w:hint="default" w:ascii="Times New Roman" w:hAnsi="Times New Roman" w:eastAsia="宋体" w:cs="Times New Roman"/>
                      <w:color w:val="auto"/>
                      <w:spacing w:val="0"/>
                      <w:w w:val="100"/>
                      <w:kern w:val="0"/>
                      <w:sz w:val="21"/>
                      <w:szCs w:val="21"/>
                      <w:lang w:val="en-US" w:eastAsia="zh-CN" w:bidi="ar-SA"/>
                    </w:rPr>
                  </w:pPr>
                  <w:r>
                    <w:rPr>
                      <w:rFonts w:hint="default" w:ascii="Times New Roman" w:hAnsi="Times New Roman" w:eastAsia="宋体" w:cs="Times New Roman"/>
                      <w:color w:val="auto"/>
                      <w:sz w:val="21"/>
                      <w:szCs w:val="21"/>
                    </w:rPr>
                    <w:t>学生宿舍等采用空气源热泵作为热源</w:t>
                  </w:r>
                </w:p>
              </w:tc>
              <w:tc>
                <w:tcPr>
                  <w:tcW w:w="2405" w:type="dxa"/>
                  <w:tcBorders>
                    <w:tl2br w:val="nil"/>
                    <w:tr2bl w:val="nil"/>
                  </w:tcBorders>
                  <w:vAlign w:val="center"/>
                </w:tcPr>
                <w:p>
                  <w:pPr>
                    <w:pStyle w:val="54"/>
                    <w:keepNext w:val="0"/>
                    <w:keepLines w:val="0"/>
                    <w:pageBreakBefore w:val="0"/>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9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环保工程</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预处理池</w:t>
                  </w:r>
                </w:p>
              </w:tc>
              <w:tc>
                <w:tcPr>
                  <w:tcW w:w="54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项目设预处理池4个，1#预处理池位于1#学生宿舍和3#学生宿舍之间地下（容积120m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）、2#预处理池位于食堂北侧（容积120m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）、3#预处理池位于实验楼群东侧（容积100m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）、4#预处理池位于2#教师周转房南侧（容积100m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），总容积为440m</w:t>
                  </w:r>
                  <w:r>
                    <w:rPr>
                      <w:rFonts w:hint="default" w:ascii="Times New Roman" w:hAnsi="Times New Roman" w:eastAsia="宋体" w:cs="Times New Roman"/>
                      <w:sz w:val="21"/>
                      <w:szCs w:val="21"/>
                      <w:vertAlign w:val="superscript"/>
                    </w:rPr>
                    <w:t>3</w:t>
                  </w:r>
                </w:p>
              </w:tc>
              <w:tc>
                <w:tcPr>
                  <w:tcW w:w="2405" w:type="dxa"/>
                  <w:tcBorders>
                    <w:tl2br w:val="nil"/>
                    <w:tr2bl w:val="nil"/>
                  </w:tcBorders>
                  <w:vAlign w:val="center"/>
                </w:tcPr>
                <w:p>
                  <w:pPr>
                    <w:pStyle w:val="54"/>
                    <w:keepNext w:val="0"/>
                    <w:keepLines w:val="0"/>
                    <w:pageBreakBefore w:val="0"/>
                    <w:widowControl/>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隔油池</w:t>
                  </w:r>
                </w:p>
              </w:tc>
              <w:tc>
                <w:tcPr>
                  <w:tcW w:w="54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2个，1个位于食堂西侧，1个位于食堂北侧，容积均为6m</w:t>
                  </w:r>
                  <w:r>
                    <w:rPr>
                      <w:rFonts w:hint="default" w:ascii="Times New Roman" w:hAnsi="Times New Roman" w:eastAsia="宋体" w:cs="Times New Roman"/>
                      <w:sz w:val="21"/>
                      <w:szCs w:val="21"/>
                      <w:vertAlign w:val="superscript"/>
                    </w:rPr>
                    <w:t>3</w:t>
                  </w:r>
                </w:p>
              </w:tc>
              <w:tc>
                <w:tcPr>
                  <w:tcW w:w="2405" w:type="dxa"/>
                  <w:tcBorders>
                    <w:tl2br w:val="nil"/>
                    <w:tr2bl w:val="nil"/>
                  </w:tcBorders>
                  <w:vAlign w:val="center"/>
                </w:tcPr>
                <w:p>
                  <w:pPr>
                    <w:pStyle w:val="54"/>
                    <w:keepNext w:val="0"/>
                    <w:keepLines w:val="0"/>
                    <w:pageBreakBefore w:val="0"/>
                    <w:widowControl/>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中和池</w:t>
                  </w:r>
                </w:p>
              </w:tc>
              <w:tc>
                <w:tcPr>
                  <w:tcW w:w="54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1个，分布在基础实验楼1F，有效容积不小于2.2m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2405" w:type="dxa"/>
                  <w:tcBorders>
                    <w:tl2br w:val="nil"/>
                    <w:tr2bl w:val="nil"/>
                  </w:tcBorders>
                  <w:vAlign w:val="center"/>
                </w:tcPr>
                <w:p>
                  <w:pPr>
                    <w:pStyle w:val="54"/>
                    <w:keepNext w:val="0"/>
                    <w:keepLines w:val="0"/>
                    <w:pageBreakBefore w:val="0"/>
                    <w:widowControl/>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油烟净化设备</w:t>
                  </w:r>
                </w:p>
              </w:tc>
              <w:tc>
                <w:tcPr>
                  <w:tcW w:w="54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食堂设置处理效率为85%的油烟净化器。</w:t>
                  </w:r>
                </w:p>
              </w:tc>
              <w:tc>
                <w:tcPr>
                  <w:tcW w:w="2405" w:type="dxa"/>
                  <w:tcBorders>
                    <w:tl2br w:val="nil"/>
                    <w:tr2bl w:val="nil"/>
                  </w:tcBorders>
                  <w:vAlign w:val="center"/>
                </w:tcPr>
                <w:p>
                  <w:pPr>
                    <w:pStyle w:val="54"/>
                    <w:keepNext w:val="0"/>
                    <w:keepLines w:val="0"/>
                    <w:pageBreakBefore w:val="0"/>
                    <w:widowControl/>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eastAsia" w:ascii="Times New Roman" w:hAnsi="Times New Roman" w:eastAsia="宋体" w:cs="Times New Roman"/>
                      <w:spacing w:val="0"/>
                      <w:w w:val="100"/>
                      <w:kern w:val="0"/>
                      <w:sz w:val="21"/>
                      <w:szCs w:val="21"/>
                      <w:lang w:val="en-US" w:eastAsia="zh-CN" w:bidi="ar-SA"/>
                    </w:rPr>
                    <w:t>11台DJ系列等离子高效油烟净化器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垃圾收集房</w:t>
                  </w:r>
                </w:p>
              </w:tc>
              <w:tc>
                <w:tcPr>
                  <w:tcW w:w="54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1个，位于项目北侧，5#学生宿舍北侧，收集日常生活垃圾，面积约70m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w:t>
                  </w:r>
                </w:p>
              </w:tc>
              <w:tc>
                <w:tcPr>
                  <w:tcW w:w="2405" w:type="dxa"/>
                  <w:tcBorders>
                    <w:tl2br w:val="nil"/>
                    <w:tr2bl w:val="nil"/>
                  </w:tcBorders>
                  <w:vAlign w:val="center"/>
                </w:tcPr>
                <w:p>
                  <w:pPr>
                    <w:pStyle w:val="54"/>
                    <w:keepNext w:val="0"/>
                    <w:keepLines w:val="0"/>
                    <w:pageBreakBefore w:val="0"/>
                    <w:widowControl/>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outlineLvl w:val="9"/>
                    <w:rPr>
                      <w:rFonts w:hint="default" w:ascii="Times New Roman" w:hAnsi="Times New Roman" w:eastAsia="宋体" w:cs="Times New Roman"/>
                      <w:color w:val="auto"/>
                      <w:spacing w:val="0"/>
                      <w:w w:val="100"/>
                      <w:kern w:val="0"/>
                      <w:sz w:val="21"/>
                      <w:szCs w:val="21"/>
                      <w:lang w:val="en-US" w:eastAsia="zh-CN" w:bidi="ar-SA"/>
                    </w:rPr>
                  </w:pPr>
                  <w:r>
                    <w:rPr>
                      <w:rFonts w:hint="default" w:ascii="Times New Roman" w:hAnsi="Times New Roman" w:eastAsia="宋体" w:cs="Times New Roman"/>
                      <w:color w:val="auto"/>
                      <w:sz w:val="21"/>
                      <w:szCs w:val="21"/>
                    </w:rPr>
                    <w:t>通风橱系统</w:t>
                  </w:r>
                </w:p>
              </w:tc>
              <w:tc>
                <w:tcPr>
                  <w:tcW w:w="54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outlineLvl w:val="9"/>
                    <w:rPr>
                      <w:rFonts w:hint="default" w:ascii="Times New Roman" w:hAnsi="Times New Roman" w:eastAsia="宋体" w:cs="Times New Roman"/>
                      <w:color w:val="auto"/>
                      <w:spacing w:val="0"/>
                      <w:w w:val="100"/>
                      <w:kern w:val="0"/>
                      <w:sz w:val="21"/>
                      <w:szCs w:val="21"/>
                      <w:lang w:val="en-US" w:eastAsia="zh-CN" w:bidi="ar-SA"/>
                    </w:rPr>
                  </w:pPr>
                  <w:r>
                    <w:rPr>
                      <w:rFonts w:hint="default" w:ascii="Times New Roman" w:hAnsi="Times New Roman" w:eastAsia="宋体" w:cs="Times New Roman"/>
                      <w:color w:val="auto"/>
                      <w:sz w:val="21"/>
                      <w:szCs w:val="21"/>
                    </w:rPr>
                    <w:t>使用废气采用通风橱收集+活性炭吸附后，通到实验室楼顶排放</w:t>
                  </w:r>
                </w:p>
              </w:tc>
              <w:tc>
                <w:tcPr>
                  <w:tcW w:w="2405" w:type="dxa"/>
                  <w:tcBorders>
                    <w:tl2br w:val="nil"/>
                    <w:tr2bl w:val="nil"/>
                  </w:tcBorders>
                  <w:vAlign w:val="center"/>
                </w:tcPr>
                <w:p>
                  <w:pPr>
                    <w:pStyle w:val="54"/>
                    <w:keepNext w:val="0"/>
                    <w:keepLines w:val="0"/>
                    <w:pageBreakBefore w:val="0"/>
                    <w:widowControl/>
                    <w:kinsoku/>
                    <w:wordWrap/>
                    <w:overflowPunct/>
                    <w:topLinePunct w:val="0"/>
                    <w:autoSpaceDE/>
                    <w:autoSpaceDN/>
                    <w:bidi w:val="0"/>
                    <w:adjustRightInd w:val="0"/>
                    <w:snapToGrid w:val="0"/>
                    <w:spacing w:after="0" w:afterLines="0" w:line="240" w:lineRule="atLeast"/>
                    <w:ind w:left="0" w:leftChars="0" w:firstLine="0" w:firstLineChars="0"/>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危险废物暂存间</w:t>
                  </w:r>
                </w:p>
              </w:tc>
              <w:tc>
                <w:tcPr>
                  <w:tcW w:w="54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位于实验楼群南侧1F，建筑面积约25m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，暂存实验危险废物</w:t>
                  </w:r>
                </w:p>
              </w:tc>
              <w:tc>
                <w:tcPr>
                  <w:tcW w:w="2405" w:type="dxa"/>
                  <w:tcBorders>
                    <w:tl2br w:val="nil"/>
                    <w:tr2bl w:val="nil"/>
                  </w:tcBorders>
                  <w:vAlign w:val="center"/>
                </w:tcPr>
                <w:p>
                  <w:pPr>
                    <w:pStyle w:val="54"/>
                    <w:keepNext w:val="0"/>
                    <w:keepLines w:val="0"/>
                    <w:pageBreakBefore w:val="0"/>
                    <w:widowControl/>
                    <w:kinsoku/>
                    <w:wordWrap/>
                    <w:overflowPunct/>
                    <w:topLinePunct w:val="0"/>
                    <w:autoSpaceDE/>
                    <w:autoSpaceDN/>
                    <w:bidi w:val="0"/>
                    <w:adjustRightInd w:val="0"/>
                    <w:snapToGrid w:val="0"/>
                    <w:spacing w:after="0" w:afterLines="0" w:line="240" w:lineRule="atLeast"/>
                    <w:ind w:left="0" w:leftChars="0" w:firstLine="0" w:firstLineChars="0"/>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预处理池</w:t>
                  </w:r>
                </w:p>
              </w:tc>
              <w:tc>
                <w:tcPr>
                  <w:tcW w:w="54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项目设预处理池4个，1#预处理池位于1#学生宿舍和3#学生宿舍之间地下（容积120m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）、2#预处理池位于食堂北侧（容积120m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）、3#预处理池位于实验楼群东侧（容积100m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）、4#预处理池位于2#教师周转房南侧（容积100m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），总容积为440m</w:t>
                  </w:r>
                  <w:r>
                    <w:rPr>
                      <w:rFonts w:hint="default" w:ascii="Times New Roman" w:hAnsi="Times New Roman" w:eastAsia="宋体" w:cs="Times New Roman"/>
                      <w:sz w:val="21"/>
                      <w:szCs w:val="21"/>
                      <w:vertAlign w:val="superscript"/>
                    </w:rPr>
                    <w:t>3</w:t>
                  </w:r>
                </w:p>
              </w:tc>
              <w:tc>
                <w:tcPr>
                  <w:tcW w:w="2405" w:type="dxa"/>
                  <w:tcBorders>
                    <w:tl2br w:val="nil"/>
                    <w:tr2bl w:val="nil"/>
                  </w:tcBorders>
                  <w:vAlign w:val="center"/>
                </w:tcPr>
                <w:p>
                  <w:pPr>
                    <w:pStyle w:val="54"/>
                    <w:keepNext w:val="0"/>
                    <w:keepLines w:val="0"/>
                    <w:pageBreakBefore w:val="0"/>
                    <w:widowControl/>
                    <w:kinsoku/>
                    <w:wordWrap/>
                    <w:overflowPunct/>
                    <w:topLinePunct w:val="0"/>
                    <w:autoSpaceDE/>
                    <w:autoSpaceDN/>
                    <w:bidi w:val="0"/>
                    <w:adjustRightInd w:val="0"/>
                    <w:snapToGrid w:val="0"/>
                    <w:spacing w:after="0" w:afterLines="0" w:line="240" w:lineRule="atLeast"/>
                    <w:ind w:left="0" w:leftChars="0" w:firstLine="0" w:firstLineChars="0"/>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9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outlineLvl w:val="9"/>
                    <w:rPr>
                      <w:rFonts w:hint="default" w:ascii="Times New Roman" w:hAnsi="Times New Roman" w:eastAsia="宋体" w:cs="Times New Roman"/>
                      <w:spacing w:val="0"/>
                      <w:w w:val="100"/>
                      <w:kern w:val="0"/>
                      <w:sz w:val="21"/>
                      <w:szCs w:val="21"/>
                      <w:lang w:val="en-US" w:eastAsia="zh-CN" w:bidi="ar-SA"/>
                    </w:rPr>
                  </w:pPr>
                </w:p>
              </w:tc>
              <w:tc>
                <w:tcPr>
                  <w:tcW w:w="77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隔油池</w:t>
                  </w:r>
                </w:p>
              </w:tc>
              <w:tc>
                <w:tcPr>
                  <w:tcW w:w="545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z w:val="21"/>
                      <w:szCs w:val="21"/>
                    </w:rPr>
                    <w:t>2个，1个位于食堂西侧，1个位于食堂北侧，容积均为6m</w:t>
                  </w:r>
                  <w:r>
                    <w:rPr>
                      <w:rFonts w:hint="default" w:ascii="Times New Roman" w:hAnsi="Times New Roman" w:eastAsia="宋体" w:cs="Times New Roman"/>
                      <w:sz w:val="21"/>
                      <w:szCs w:val="21"/>
                      <w:vertAlign w:val="superscript"/>
                    </w:rPr>
                    <w:t>3</w:t>
                  </w:r>
                </w:p>
              </w:tc>
              <w:tc>
                <w:tcPr>
                  <w:tcW w:w="2405" w:type="dxa"/>
                  <w:tcBorders>
                    <w:tl2br w:val="nil"/>
                    <w:tr2bl w:val="nil"/>
                  </w:tcBorders>
                  <w:vAlign w:val="center"/>
                </w:tcPr>
                <w:p>
                  <w:pPr>
                    <w:pStyle w:val="54"/>
                    <w:keepNext w:val="0"/>
                    <w:keepLines w:val="0"/>
                    <w:pageBreakBefore w:val="0"/>
                    <w:widowControl/>
                    <w:kinsoku/>
                    <w:wordWrap/>
                    <w:overflowPunct/>
                    <w:topLinePunct w:val="0"/>
                    <w:autoSpaceDE/>
                    <w:autoSpaceDN/>
                    <w:bidi w:val="0"/>
                    <w:adjustRightInd w:val="0"/>
                    <w:snapToGrid w:val="0"/>
                    <w:spacing w:after="0" w:afterLines="0" w:line="240" w:lineRule="atLeast"/>
                    <w:ind w:left="0" w:leftChars="0" w:firstLine="0" w:firstLineChars="0"/>
                    <w:outlineLvl w:val="9"/>
                    <w:rPr>
                      <w:rFonts w:hint="default" w:ascii="Times New Roman" w:hAnsi="Times New Roman" w:eastAsia="宋体" w:cs="Times New Roman"/>
                      <w:spacing w:val="0"/>
                      <w:w w:val="100"/>
                      <w:kern w:val="0"/>
                      <w:sz w:val="21"/>
                      <w:szCs w:val="21"/>
                      <w:lang w:val="en-US" w:eastAsia="zh-CN" w:bidi="ar-SA"/>
                    </w:rPr>
                  </w:pPr>
                  <w:r>
                    <w:rPr>
                      <w:rFonts w:hint="default" w:ascii="Times New Roman" w:hAnsi="Times New Roman" w:eastAsia="宋体" w:cs="Times New Roman"/>
                      <w:spacing w:val="0"/>
                      <w:w w:val="100"/>
                      <w:kern w:val="0"/>
                      <w:sz w:val="21"/>
                      <w:szCs w:val="21"/>
                      <w:lang w:val="en-US" w:eastAsia="zh-CN" w:bidi="ar-SA"/>
                    </w:rPr>
                    <w:t>与环评一致</w:t>
                  </w:r>
                </w:p>
              </w:tc>
            </w:tr>
          </w:tbl>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项目变动情况：</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cs="Times New Roman" w:eastAsiaTheme="minorEastAsia"/>
                <w:b w:val="0"/>
                <w:bCs w:val="0"/>
                <w:sz w:val="24"/>
                <w:szCs w:val="24"/>
                <w:lang w:val="en-US" w:eastAsia="zh-CN"/>
              </w:rPr>
            </w:pPr>
            <w:r>
              <w:rPr>
                <w:rFonts w:hint="eastAsia" w:ascii="Times New Roman" w:hAnsi="Times New Roman" w:cs="Times New Roman" w:eastAsiaTheme="minorEastAsia"/>
                <w:b w:val="0"/>
                <w:bCs w:val="0"/>
                <w:sz w:val="24"/>
                <w:szCs w:val="24"/>
                <w:lang w:val="en-US" w:eastAsia="zh-CN"/>
              </w:rPr>
              <w:t>本项目为分期建设，分期验收项目。</w:t>
            </w:r>
            <w:r>
              <w:rPr>
                <w:rFonts w:hint="default" w:ascii="Times New Roman" w:hAnsi="Times New Roman" w:cs="Times New Roman" w:eastAsiaTheme="minorEastAsia"/>
                <w:b w:val="0"/>
                <w:bCs w:val="0"/>
                <w:sz w:val="24"/>
                <w:szCs w:val="24"/>
                <w:lang w:val="en-US" w:eastAsia="zh-CN"/>
              </w:rPr>
              <w:t>本次验收</w:t>
            </w:r>
            <w:r>
              <w:rPr>
                <w:rFonts w:hint="eastAsia" w:ascii="Times New Roman" w:hAnsi="Times New Roman" w:cs="Times New Roman" w:eastAsiaTheme="minorEastAsia"/>
                <w:b w:val="0"/>
                <w:bCs w:val="0"/>
                <w:sz w:val="24"/>
                <w:szCs w:val="24"/>
                <w:lang w:val="en-US" w:eastAsia="zh-CN"/>
              </w:rPr>
              <w:t>一期工程，一期</w:t>
            </w:r>
            <w:r>
              <w:rPr>
                <w:rFonts w:hint="default" w:ascii="Times New Roman" w:hAnsi="Times New Roman" w:cs="Times New Roman" w:eastAsiaTheme="minorEastAsia"/>
                <w:b w:val="0"/>
                <w:bCs w:val="0"/>
                <w:sz w:val="24"/>
                <w:szCs w:val="24"/>
                <w:lang w:val="en-US" w:eastAsia="zh-CN"/>
              </w:rPr>
              <w:t>主体工程与环评中建设内容基本相符。而实际建设的环保设施设备也基本按照环评要求进行建设，参照</w:t>
            </w:r>
            <w:r>
              <w:rPr>
                <w:rFonts w:hint="eastAsia" w:ascii="Times New Roman" w:hAnsi="Times New Roman" w:cs="Times New Roman" w:eastAsiaTheme="minorEastAsia"/>
                <w:b w:val="0"/>
                <w:bCs w:val="0"/>
                <w:sz w:val="24"/>
                <w:szCs w:val="24"/>
                <w:lang w:val="en-US" w:eastAsia="zh-CN"/>
              </w:rPr>
              <w:t>《污染影响类建设项目重大变动清单（试行）》</w:t>
            </w:r>
            <w:r>
              <w:rPr>
                <w:rFonts w:hint="default" w:ascii="Times New Roman" w:hAnsi="Times New Roman" w:cs="Times New Roman" w:eastAsiaTheme="minorEastAsia"/>
                <w:b w:val="0"/>
                <w:bCs w:val="0"/>
                <w:sz w:val="24"/>
                <w:szCs w:val="24"/>
                <w:lang w:val="en-US" w:eastAsia="zh-CN"/>
              </w:rPr>
              <w:t>环办环评函〔2020〕688号本项目变动情况不属于重大变动。</w:t>
            </w:r>
          </w:p>
          <w:p>
            <w:pPr>
              <w:pStyle w:val="18"/>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textAlignment w:val="auto"/>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eastAsiaTheme="minorEastAsia"/>
                <w:b w:val="0"/>
                <w:bCs w:val="0"/>
                <w:sz w:val="24"/>
                <w:szCs w:val="24"/>
                <w:lang w:val="en-US" w:eastAsia="zh-CN"/>
              </w:rPr>
              <w:t>项目主要</w:t>
            </w:r>
            <w:r>
              <w:rPr>
                <w:rFonts w:hint="eastAsia" w:ascii="Times New Roman" w:hAnsi="Times New Roman" w:cs="Times New Roman" w:eastAsiaTheme="minorEastAsia"/>
                <w:b w:val="0"/>
                <w:bCs w:val="0"/>
                <w:sz w:val="24"/>
                <w:szCs w:val="24"/>
                <w:lang w:val="en-US" w:eastAsia="zh-CN"/>
              </w:rPr>
              <w:t>设施</w:t>
            </w:r>
            <w:r>
              <w:rPr>
                <w:rFonts w:hint="default" w:ascii="Times New Roman" w:hAnsi="Times New Roman" w:cs="Times New Roman" w:eastAsiaTheme="minorEastAsia"/>
                <w:b w:val="0"/>
                <w:bCs w:val="0"/>
                <w:sz w:val="24"/>
                <w:szCs w:val="24"/>
                <w:lang w:val="en-US" w:eastAsia="zh-CN"/>
              </w:rPr>
              <w:t>设备见下表2-2：</w:t>
            </w:r>
          </w:p>
          <w:tbl>
            <w:tblPr>
              <w:tblStyle w:val="24"/>
              <w:tblpPr w:leftFromText="180" w:rightFromText="180" w:vertAnchor="text" w:horzAnchor="page" w:tblpXSpec="center" w:tblpY="446"/>
              <w:tblOverlap w:val="never"/>
              <w:tblW w:w="926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297"/>
              <w:gridCol w:w="1254"/>
              <w:gridCol w:w="1413"/>
              <w:gridCol w:w="1335"/>
              <w:gridCol w:w="6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设备名称</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单位</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环评建设内容</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实际建设内容</w:t>
                  </w:r>
                </w:p>
              </w:tc>
              <w:tc>
                <w:tcPr>
                  <w:tcW w:w="61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1</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楼层电表箱</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2</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低压配电柜</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3</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照明配电箱</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4</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电源切换箱</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5</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有线电视前端箱</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有线电视控制器箱</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7</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电话分线箱</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8</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干式变压器</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9</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火灾自动报警系统</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10</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雨水检查井</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11</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污水检查井</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12</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室内消防泵</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13</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室外消防泵</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14</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喷淋泵</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15</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室外消防栓</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16</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消防专用稳压泵</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17</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水泵结合器</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18</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室内消火栓</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19</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预处理池</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10</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隔油池</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21</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中和池</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22</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高密度聚氯乙烯垃圾桶</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23</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不锈钢托盘</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24</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学生餐桌椅</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25</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教师餐桌椅</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26</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餐具</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27</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课桌</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28</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黑板</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张</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29</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办公桌</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30</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各类仪器</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31</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电脑</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台</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32</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办公桌</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349"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33</w:t>
                  </w:r>
                </w:p>
              </w:tc>
              <w:tc>
                <w:tcPr>
                  <w:tcW w:w="329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各类健身设施</w:t>
                  </w:r>
                </w:p>
              </w:tc>
              <w:tc>
                <w:tcPr>
                  <w:tcW w:w="12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套</w:t>
                  </w:r>
                </w:p>
              </w:tc>
              <w:tc>
                <w:tcPr>
                  <w:tcW w:w="1413"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133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若干</w:t>
                  </w:r>
                </w:p>
              </w:tc>
              <w:tc>
                <w:tcPr>
                  <w:tcW w:w="614" w:type="dxa"/>
                  <w:vMerge w:val="continue"/>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bl>
          <w:p>
            <w:pPr>
              <w:pStyle w:val="23"/>
              <w:spacing w:before="0" w:beforeAutospacing="0" w:after="0" w:afterAutospacing="0" w:line="360" w:lineRule="auto"/>
              <w:ind w:left="0" w:right="0"/>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表2-2项目主要设施设备一览表</w:t>
            </w:r>
          </w:p>
          <w:tbl>
            <w:tblPr>
              <w:tblStyle w:val="25"/>
              <w:tblW w:w="893" w:type="dxa"/>
              <w:tblInd w:w="-2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893" w:type="dxa"/>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eastAsiaTheme="minorEastAsia"/>
                      <w:b/>
                      <w:bCs/>
                      <w:sz w:val="24"/>
                      <w:szCs w:val="24"/>
                      <w:vertAlign w:val="baseli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eastAsiaTheme="minorEastAsia"/>
                <w:b/>
                <w:bCs/>
                <w:color w:val="auto"/>
                <w:sz w:val="24"/>
                <w:szCs w:val="24"/>
                <w:highlight w:val="none"/>
              </w:rPr>
            </w:pPr>
            <w:r>
              <w:rPr>
                <w:rFonts w:hint="default" w:ascii="Times New Roman" w:hAnsi="Times New Roman" w:cs="Times New Roman" w:eastAsiaTheme="minorEastAsia"/>
                <w:b/>
                <w:bCs/>
                <w:sz w:val="24"/>
                <w:szCs w:val="24"/>
                <w:lang w:val="en-US" w:eastAsia="zh-CN"/>
              </w:rPr>
              <w:t>2.2原辅材料消耗及水平衡</w:t>
            </w:r>
          </w:p>
          <w:p>
            <w:pPr>
              <w:pStyle w:val="65"/>
              <w:keepNext w:val="0"/>
              <w:keepLines w:val="0"/>
              <w:pageBreakBefore w:val="0"/>
              <w:widowControl/>
              <w:kinsoku/>
              <w:wordWrap/>
              <w:overflowPunct/>
              <w:topLinePunct w:val="0"/>
              <w:bidi w:val="0"/>
              <w:adjustRightInd w:val="0"/>
              <w:snapToGrid w:val="0"/>
              <w:spacing w:after="0"/>
              <w:ind w:firstLine="480"/>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营运期废水主要为在校师生产生的生活污水（含食堂废水）、实验废水、未预见废水。本项目营运期空调的运转会产生少量的冷凝水，采用凝结水管直接通向下水道，不存在空调冷凝水无序乱排现象。</w:t>
            </w:r>
          </w:p>
          <w:p>
            <w:pPr>
              <w:keepNext w:val="0"/>
              <w:keepLines w:val="0"/>
              <w:pageBreakBefore w:val="0"/>
              <w:widowControl/>
              <w:kinsoku/>
              <w:wordWrap/>
              <w:overflowPunct/>
              <w:topLinePunct w:val="0"/>
              <w:bidi w:val="0"/>
              <w:adjustRightInd w:val="0"/>
              <w:snapToGrid w:val="0"/>
              <w:spacing w:after="0" w:line="360" w:lineRule="auto"/>
              <w:ind w:firstLine="482"/>
              <w:textAlignment w:val="auto"/>
              <w:outlineLvl w:val="9"/>
              <w:rPr>
                <w:rFonts w:hint="default" w:ascii="Times New Roman" w:hAnsi="Times New Roman" w:cs="Times New Roman" w:eastAsiaTheme="minorEastAsia"/>
                <w:b/>
                <w:color w:val="auto"/>
                <w:sz w:val="24"/>
                <w:szCs w:val="24"/>
              </w:rPr>
            </w:pPr>
            <w:r>
              <w:rPr>
                <w:rFonts w:hint="default" w:ascii="Times New Roman" w:hAnsi="Times New Roman" w:cs="Times New Roman" w:eastAsiaTheme="minorEastAsia"/>
                <w:b/>
                <w:color w:val="auto"/>
                <w:sz w:val="24"/>
                <w:szCs w:val="24"/>
              </w:rPr>
              <w:t>（1）生活废水</w:t>
            </w:r>
          </w:p>
          <w:p>
            <w:pPr>
              <w:pStyle w:val="65"/>
              <w:keepNext w:val="0"/>
              <w:keepLines w:val="0"/>
              <w:pageBreakBefore w:val="0"/>
              <w:widowControl/>
              <w:kinsoku/>
              <w:wordWrap/>
              <w:overflowPunct/>
              <w:topLinePunct w:val="0"/>
              <w:bidi w:val="0"/>
              <w:adjustRightInd w:val="0"/>
              <w:snapToGrid w:val="0"/>
              <w:spacing w:after="0"/>
              <w:ind w:firstLine="480"/>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师生生活污水产生于教学楼、办公区域、宿舍、附属用房和实验楼等建筑，主要污染物为CODcr、BOD</w:t>
            </w:r>
            <w:r>
              <w:rPr>
                <w:rFonts w:hint="default" w:ascii="Times New Roman" w:hAnsi="Times New Roman" w:cs="Times New Roman" w:eastAsiaTheme="minorEastAsia"/>
                <w:color w:val="auto"/>
                <w:sz w:val="24"/>
                <w:szCs w:val="24"/>
                <w:vertAlign w:val="subscript"/>
              </w:rPr>
              <w:t>5</w:t>
            </w:r>
            <w:r>
              <w:rPr>
                <w:rFonts w:hint="default" w:ascii="Times New Roman" w:hAnsi="Times New Roman" w:cs="Times New Roman" w:eastAsiaTheme="minorEastAsia"/>
                <w:color w:val="auto"/>
                <w:sz w:val="24"/>
                <w:szCs w:val="24"/>
              </w:rPr>
              <w:t>、NH</w:t>
            </w:r>
            <w:r>
              <w:rPr>
                <w:rFonts w:hint="default" w:ascii="Times New Roman" w:hAnsi="Times New Roman" w:cs="Times New Roman" w:eastAsiaTheme="minorEastAsia"/>
                <w:color w:val="auto"/>
                <w:sz w:val="24"/>
                <w:szCs w:val="24"/>
                <w:vertAlign w:val="subscript"/>
              </w:rPr>
              <w:t>3</w:t>
            </w:r>
            <w:r>
              <w:rPr>
                <w:rFonts w:hint="default" w:ascii="Times New Roman" w:hAnsi="Times New Roman" w:cs="Times New Roman" w:eastAsiaTheme="minorEastAsia"/>
                <w:color w:val="auto"/>
                <w:sz w:val="24"/>
                <w:szCs w:val="24"/>
              </w:rPr>
              <w:t>-N、SS和动植物油等。本项目营运期在校师生约6000人，</w:t>
            </w:r>
            <w:r>
              <w:rPr>
                <w:rFonts w:hint="default" w:ascii="Times New Roman" w:hAnsi="Times New Roman" w:cs="Times New Roman" w:eastAsiaTheme="minorEastAsia"/>
                <w:color w:val="auto"/>
                <w:spacing w:val="6"/>
                <w:sz w:val="24"/>
                <w:szCs w:val="24"/>
              </w:rPr>
              <w:t>人均生活用水量按照120L/</w:t>
            </w:r>
            <w:r>
              <w:rPr>
                <w:rFonts w:hint="default" w:ascii="Times New Roman" w:hAnsi="Times New Roman" w:cs="Times New Roman" w:eastAsiaTheme="minorEastAsia"/>
                <w:color w:val="auto"/>
                <w:sz w:val="24"/>
                <w:szCs w:val="24"/>
              </w:rPr>
              <w:t>人·d</w:t>
            </w:r>
            <w:r>
              <w:rPr>
                <w:rFonts w:hint="default" w:ascii="Times New Roman" w:hAnsi="Times New Roman" w:cs="Times New Roman" w:eastAsiaTheme="minorEastAsia"/>
                <w:color w:val="auto"/>
                <w:spacing w:val="6"/>
                <w:sz w:val="24"/>
                <w:szCs w:val="24"/>
              </w:rPr>
              <w:t>计算</w:t>
            </w:r>
            <w:r>
              <w:rPr>
                <w:rFonts w:hint="default" w:ascii="Times New Roman" w:hAnsi="Times New Roman" w:cs="Times New Roman" w:eastAsiaTheme="minorEastAsia"/>
                <w:color w:val="auto"/>
                <w:sz w:val="24"/>
                <w:szCs w:val="24"/>
              </w:rPr>
              <w:t>，污水排放量按用水量的85%计算，则校区生活污水产生量总计612m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/d，学校年工作时间按280d计，则生活污水年产生量为171360m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。污染物浓度为：CODcr：500mg/L、BOD</w:t>
            </w:r>
            <w:r>
              <w:rPr>
                <w:rFonts w:hint="default" w:ascii="Times New Roman" w:hAnsi="Times New Roman" w:cs="Times New Roman" w:eastAsiaTheme="minorEastAsia"/>
                <w:color w:val="auto"/>
                <w:sz w:val="24"/>
                <w:szCs w:val="24"/>
                <w:vertAlign w:val="subscript"/>
              </w:rPr>
              <w:t>5</w:t>
            </w:r>
            <w:r>
              <w:rPr>
                <w:rFonts w:hint="default" w:ascii="Times New Roman" w:hAnsi="Times New Roman" w:cs="Times New Roman" w:eastAsiaTheme="minorEastAsia"/>
                <w:color w:val="auto"/>
                <w:sz w:val="24"/>
                <w:szCs w:val="24"/>
              </w:rPr>
              <w:t>：300mg/L、NH</w:t>
            </w:r>
            <w:r>
              <w:rPr>
                <w:rFonts w:hint="default" w:ascii="Times New Roman" w:hAnsi="Times New Roman" w:cs="Times New Roman" w:eastAsiaTheme="minorEastAsia"/>
                <w:color w:val="auto"/>
                <w:sz w:val="24"/>
                <w:szCs w:val="24"/>
                <w:vertAlign w:val="subscript"/>
              </w:rPr>
              <w:t>3</w:t>
            </w:r>
            <w:r>
              <w:rPr>
                <w:rFonts w:hint="default" w:ascii="Times New Roman" w:hAnsi="Times New Roman" w:cs="Times New Roman" w:eastAsiaTheme="minorEastAsia"/>
                <w:color w:val="auto"/>
                <w:sz w:val="24"/>
                <w:szCs w:val="24"/>
              </w:rPr>
              <w:t>-N：50mg/L、SS:200mg/L。本项目污水经过项目内预处理池处理，达到《污水综合排放标准》（GB8978-1996）三级标准后，排入城市污水管网进入</w:t>
            </w:r>
            <w:r>
              <w:rPr>
                <w:rFonts w:hint="default" w:ascii="Times New Roman" w:hAnsi="Times New Roman" w:cs="Times New Roman" w:eastAsiaTheme="minorEastAsia"/>
                <w:bCs/>
                <w:color w:val="auto"/>
                <w:sz w:val="24"/>
                <w:szCs w:val="24"/>
              </w:rPr>
              <w:t>宜宾市临港白沙城镇污水处理厂</w:t>
            </w:r>
            <w:r>
              <w:rPr>
                <w:rFonts w:hint="default" w:ascii="Times New Roman" w:hAnsi="Times New Roman" w:cs="Times New Roman" w:eastAsiaTheme="minorEastAsia"/>
                <w:color w:val="auto"/>
                <w:sz w:val="24"/>
                <w:szCs w:val="24"/>
              </w:rPr>
              <w:t>（总处理规模：3万m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/d）处理达到《四川省岷江、沱江流域水污染物排放标准》（DB51/2311-2016）中“城镇污水处理厂”排放限值标准后，排入长江。</w:t>
            </w:r>
          </w:p>
          <w:p>
            <w:pPr>
              <w:keepNext w:val="0"/>
              <w:keepLines w:val="0"/>
              <w:pageBreakBefore w:val="0"/>
              <w:widowControl/>
              <w:kinsoku/>
              <w:wordWrap/>
              <w:overflowPunct/>
              <w:topLinePunct w:val="0"/>
              <w:bidi w:val="0"/>
              <w:adjustRightInd w:val="0"/>
              <w:snapToGrid w:val="0"/>
              <w:spacing w:after="0" w:line="360" w:lineRule="auto"/>
              <w:ind w:firstLine="482" w:firstLineChars="200"/>
              <w:jc w:val="left"/>
              <w:textAlignment w:val="auto"/>
              <w:outlineLvl w:val="9"/>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（2）食堂废水</w:t>
            </w:r>
          </w:p>
          <w:p>
            <w:pPr>
              <w:keepNext w:val="0"/>
              <w:keepLines w:val="0"/>
              <w:pageBreakBefore w:val="0"/>
              <w:widowControl/>
              <w:kinsoku/>
              <w:wordWrap/>
              <w:overflowPunct/>
              <w:topLinePunct w:val="0"/>
              <w:bidi w:val="0"/>
              <w:adjustRightInd w:val="0"/>
              <w:snapToGrid w:val="0"/>
              <w:spacing w:after="0" w:line="360" w:lineRule="auto"/>
              <w:ind w:firstLine="480" w:firstLineChars="200"/>
              <w:jc w:val="left"/>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本项目规划师生规模为6000人，就餐人数按5000人计算，食堂每天供应三餐，根据《四川省用水定额》，按人均用水量50L/人•d计算，则总用水量为275m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/d。污水排放量按用水量的85%计算，污水产生量为212.5m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/d。食堂废水经隔油池处理后进入预处理池处理后汇入市政污水管网。</w:t>
            </w:r>
          </w:p>
          <w:p>
            <w:pPr>
              <w:pStyle w:val="65"/>
              <w:keepNext w:val="0"/>
              <w:keepLines w:val="0"/>
              <w:pageBreakBefore w:val="0"/>
              <w:widowControl/>
              <w:kinsoku/>
              <w:wordWrap/>
              <w:overflowPunct/>
              <w:topLinePunct w:val="0"/>
              <w:bidi w:val="0"/>
              <w:adjustRightInd w:val="0"/>
              <w:snapToGrid w:val="0"/>
              <w:spacing w:after="0"/>
              <w:ind w:firstLine="480"/>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 xml:space="preserve">按照《饮食业环境保护技术规范》（HJ554-2010）中的相关规定： </w:t>
            </w:r>
          </w:p>
          <w:p>
            <w:pPr>
              <w:pStyle w:val="65"/>
              <w:keepNext w:val="0"/>
              <w:keepLines w:val="0"/>
              <w:pageBreakBefore w:val="0"/>
              <w:widowControl/>
              <w:kinsoku/>
              <w:wordWrap/>
              <w:overflowPunct/>
              <w:topLinePunct w:val="0"/>
              <w:bidi w:val="0"/>
              <w:adjustRightInd w:val="0"/>
              <w:snapToGrid w:val="0"/>
              <w:spacing w:after="0"/>
              <w:ind w:firstLine="480"/>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 xml:space="preserve">①饮食业单位排放的含油污水应经隔油设施处理后排放；  </w:t>
            </w:r>
          </w:p>
          <w:p>
            <w:pPr>
              <w:pStyle w:val="65"/>
              <w:keepNext w:val="0"/>
              <w:keepLines w:val="0"/>
              <w:pageBreakBefore w:val="0"/>
              <w:widowControl/>
              <w:kinsoku/>
              <w:wordWrap/>
              <w:overflowPunct/>
              <w:topLinePunct w:val="0"/>
              <w:bidi w:val="0"/>
              <w:adjustRightInd w:val="0"/>
              <w:snapToGrid w:val="0"/>
              <w:spacing w:after="0"/>
              <w:ind w:firstLine="480"/>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 xml:space="preserve">②隔油设施所需空间应根据隔油工艺、含油污水排放量等因素综合确定，存油部分应便于清运和管理；  </w:t>
            </w:r>
          </w:p>
          <w:p>
            <w:pPr>
              <w:pStyle w:val="65"/>
              <w:keepNext w:val="0"/>
              <w:keepLines w:val="0"/>
              <w:pageBreakBefore w:val="0"/>
              <w:widowControl/>
              <w:kinsoku/>
              <w:wordWrap/>
              <w:overflowPunct/>
              <w:topLinePunct w:val="0"/>
              <w:bidi w:val="0"/>
              <w:adjustRightInd w:val="0"/>
              <w:snapToGrid w:val="0"/>
              <w:spacing w:after="0"/>
              <w:ind w:firstLine="480"/>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 xml:space="preserve">③隔油设施不应设在厨房、饮食制作间及其它有卫生要求的空间内；  </w:t>
            </w:r>
          </w:p>
          <w:p>
            <w:pPr>
              <w:pStyle w:val="65"/>
              <w:keepNext w:val="0"/>
              <w:keepLines w:val="0"/>
              <w:pageBreakBefore w:val="0"/>
              <w:widowControl/>
              <w:kinsoku/>
              <w:wordWrap/>
              <w:overflowPunct/>
              <w:topLinePunct w:val="0"/>
              <w:bidi w:val="0"/>
              <w:adjustRightInd w:val="0"/>
              <w:snapToGrid w:val="0"/>
              <w:spacing w:after="0"/>
              <w:ind w:firstLine="480"/>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④当选用隔油池时，隔油池应符合下列要求：含油污水的水力停留时间不宜小于0.5h；池内水流流速不宜大于0.005m/s；池内分格宜采取二挡三格；人工除油的隔油池内存油部分容积不宜小于该池有效容积的25%；隔油池出水水管管底至池底的深度，不宜小于0.6m；与隔油池相连的管道均应防酸碱、耐高温。</w:t>
            </w:r>
          </w:p>
          <w:p>
            <w:pPr>
              <w:pStyle w:val="66"/>
              <w:keepNext w:val="0"/>
              <w:keepLines w:val="0"/>
              <w:pageBreakBefore w:val="0"/>
              <w:widowControl/>
              <w:kinsoku/>
              <w:wordWrap/>
              <w:overflowPunct/>
              <w:topLinePunct w:val="0"/>
              <w:bidi w:val="0"/>
              <w:adjustRightInd w:val="0"/>
              <w:snapToGrid w:val="0"/>
              <w:spacing w:after="0"/>
              <w:ind w:firstLine="482"/>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（3）实验废水</w:t>
            </w:r>
          </w:p>
          <w:p>
            <w:pPr>
              <w:pStyle w:val="65"/>
              <w:keepNext w:val="0"/>
              <w:keepLines w:val="0"/>
              <w:pageBreakBefore w:val="0"/>
              <w:widowControl/>
              <w:kinsoku/>
              <w:wordWrap/>
              <w:overflowPunct/>
              <w:topLinePunct w:val="0"/>
              <w:bidi w:val="0"/>
              <w:adjustRightInd w:val="0"/>
              <w:snapToGrid w:val="0"/>
              <w:spacing w:after="0"/>
              <w:ind w:firstLine="480"/>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涉及实验废水排放的实验室是基础实验楼和综合实验室楼，主要是做基础化学实验和机械类专业实验，根据课程安排进行教学试验，实验总用水量约为5m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/d，1400m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/a，清洗废水按用水是的85%计，为4.25m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/d，1190m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/a。</w:t>
            </w:r>
          </w:p>
          <w:p>
            <w:pPr>
              <w:pStyle w:val="65"/>
              <w:keepNext w:val="0"/>
              <w:keepLines w:val="0"/>
              <w:pageBreakBefore w:val="0"/>
              <w:widowControl/>
              <w:kinsoku/>
              <w:wordWrap/>
              <w:overflowPunct/>
              <w:topLinePunct w:val="0"/>
              <w:bidi w:val="0"/>
              <w:adjustRightInd w:val="0"/>
              <w:snapToGrid w:val="0"/>
              <w:spacing w:after="0"/>
              <w:ind w:firstLine="480"/>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本项目基础实验楼以计算机专业、云网络语言实验室为主，仅在4F设有1个化学实验楼，化学实验主要以无机、有机等课程为主，使用的化学试剂主要为酸碱溶液、少量有机物（如乙醇等），不涉及一类污染物、有毒有害的有机物等重金属。</w:t>
            </w:r>
          </w:p>
          <w:p>
            <w:pPr>
              <w:pStyle w:val="65"/>
              <w:keepNext w:val="0"/>
              <w:keepLines w:val="0"/>
              <w:pageBreakBefore w:val="0"/>
              <w:widowControl/>
              <w:kinsoku/>
              <w:wordWrap/>
              <w:overflowPunct/>
              <w:topLinePunct w:val="0"/>
              <w:bidi w:val="0"/>
              <w:adjustRightInd w:val="0"/>
              <w:snapToGrid w:val="0"/>
              <w:spacing w:after="0"/>
              <w:ind w:firstLine="480"/>
              <w:textAlignment w:val="auto"/>
              <w:outlineLvl w:val="9"/>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color w:val="auto"/>
                <w:sz w:val="24"/>
                <w:szCs w:val="24"/>
              </w:rPr>
              <w:t>实验室废化学试剂、高浓度酸碱液、实验仪器前三次清洗废水等废弃物由收集桶收集后存放至危废暂存间，统一送专业资质单位处理，严禁直排污水管，实验仪器三次以后清洗废水、桌面清洗废水通过酸碱中和处理后再排入预处理池。</w:t>
            </w:r>
          </w:p>
          <w:p>
            <w:pPr>
              <w:pStyle w:val="66"/>
              <w:keepNext w:val="0"/>
              <w:keepLines w:val="0"/>
              <w:pageBreakBefore w:val="0"/>
              <w:widowControl/>
              <w:kinsoku/>
              <w:wordWrap/>
              <w:overflowPunct/>
              <w:topLinePunct w:val="0"/>
              <w:bidi w:val="0"/>
              <w:adjustRightInd w:val="0"/>
              <w:snapToGrid w:val="0"/>
              <w:spacing w:after="0"/>
              <w:ind w:firstLine="482"/>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（4）绿化用水</w:t>
            </w:r>
          </w:p>
          <w:p>
            <w:pPr>
              <w:keepNext w:val="0"/>
              <w:keepLines w:val="0"/>
              <w:pageBreakBefore w:val="0"/>
              <w:widowControl/>
              <w:kinsoku/>
              <w:wordWrap/>
              <w:overflowPunct/>
              <w:topLinePunct w:val="0"/>
              <w:bidi w:val="0"/>
              <w:adjustRightInd w:val="0"/>
              <w:snapToGrid w:val="0"/>
              <w:spacing w:after="0" w:line="360" w:lineRule="auto"/>
              <w:ind w:firstLine="480" w:firstLineChars="200"/>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绿化用水量按照2.5L/m</w:t>
            </w:r>
            <w:r>
              <w:rPr>
                <w:rFonts w:hint="default" w:ascii="Times New Roman" w:hAnsi="Times New Roman" w:cs="Times New Roman" w:eastAsiaTheme="minorEastAsia"/>
                <w:color w:val="auto"/>
                <w:sz w:val="24"/>
                <w:szCs w:val="24"/>
                <w:vertAlign w:val="superscript"/>
              </w:rPr>
              <w:t>2</w:t>
            </w:r>
            <w:r>
              <w:rPr>
                <w:rFonts w:hint="default" w:ascii="Times New Roman" w:hAnsi="Times New Roman" w:cs="Times New Roman" w:eastAsiaTheme="minorEastAsia"/>
                <w:color w:val="auto"/>
                <w:sz w:val="24"/>
                <w:szCs w:val="24"/>
              </w:rPr>
              <w:t>·次计算，平均每周浇灌一次。本项目绿化面积约为113279m</w:t>
            </w:r>
            <w:r>
              <w:rPr>
                <w:rFonts w:hint="default" w:ascii="Times New Roman" w:hAnsi="Times New Roman" w:cs="Times New Roman" w:eastAsiaTheme="minorEastAsia"/>
                <w:color w:val="auto"/>
                <w:sz w:val="24"/>
                <w:szCs w:val="24"/>
                <w:vertAlign w:val="superscript"/>
              </w:rPr>
              <w:t>2</w:t>
            </w:r>
            <w:r>
              <w:rPr>
                <w:rFonts w:hint="default" w:ascii="Times New Roman" w:hAnsi="Times New Roman" w:cs="Times New Roman" w:eastAsiaTheme="minorEastAsia"/>
                <w:color w:val="auto"/>
                <w:sz w:val="24"/>
                <w:szCs w:val="24"/>
              </w:rPr>
              <w:t>，则绿化用水量折算为64.5m</w:t>
            </w:r>
            <w:r>
              <w:rPr>
                <w:rFonts w:hint="default" w:ascii="Times New Roman" w:hAnsi="Times New Roman" w:cs="Times New Roman" w:eastAsiaTheme="minorEastAsia"/>
                <w:color w:val="auto"/>
                <w:sz w:val="24"/>
                <w:szCs w:val="24"/>
                <w:vertAlign w:val="superscript"/>
              </w:rPr>
              <w:t>3</w:t>
            </w:r>
            <w:r>
              <w:rPr>
                <w:rFonts w:hint="default" w:ascii="Times New Roman" w:hAnsi="Times New Roman" w:cs="Times New Roman" w:eastAsiaTheme="minorEastAsia"/>
                <w:color w:val="auto"/>
                <w:sz w:val="24"/>
                <w:szCs w:val="24"/>
              </w:rPr>
              <w:t>/d，绿化用水通过植物吸收及损耗。</w:t>
            </w:r>
          </w:p>
          <w:p>
            <w:pPr>
              <w:pStyle w:val="66"/>
              <w:keepNext w:val="0"/>
              <w:keepLines w:val="0"/>
              <w:pageBreakBefore w:val="0"/>
              <w:widowControl/>
              <w:kinsoku/>
              <w:wordWrap/>
              <w:overflowPunct/>
              <w:topLinePunct w:val="0"/>
              <w:bidi w:val="0"/>
              <w:adjustRightInd w:val="0"/>
              <w:snapToGrid w:val="0"/>
              <w:spacing w:after="0"/>
              <w:ind w:firstLine="482"/>
              <w:textAlignment w:val="auto"/>
              <w:outlineLvl w:val="9"/>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（5）未预见用水</w:t>
            </w:r>
          </w:p>
          <w:p>
            <w:pPr>
              <w:keepNext w:val="0"/>
              <w:keepLines w:val="0"/>
              <w:pageBreakBefore w:val="0"/>
              <w:widowControl/>
              <w:kinsoku/>
              <w:wordWrap/>
              <w:overflowPunct/>
              <w:topLinePunct w:val="0"/>
              <w:autoSpaceDE w:val="0"/>
              <w:autoSpaceDN w:val="0"/>
              <w:bidi w:val="0"/>
              <w:adjustRightInd w:val="0"/>
              <w:snapToGrid w:val="0"/>
              <w:spacing w:after="0" w:line="360" w:lineRule="auto"/>
              <w:ind w:firstLine="480" w:firstLineChars="200"/>
              <w:textAlignment w:val="auto"/>
              <w:outlineLvl w:val="9"/>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sz w:val="24"/>
                <w:szCs w:val="24"/>
              </w:rPr>
              <w:t>本项目</w:t>
            </w:r>
            <w:r>
              <w:rPr>
                <w:rFonts w:hint="default" w:ascii="Times New Roman" w:hAnsi="Times New Roman" w:cs="Times New Roman" w:eastAsiaTheme="minorEastAsia"/>
                <w:color w:val="auto"/>
                <w:kern w:val="0"/>
                <w:sz w:val="24"/>
                <w:szCs w:val="24"/>
              </w:rPr>
              <w:t>消防、道路洒水以及漏失水量等未预见性用水按以上各项用水量的10%计，约为103.95m</w:t>
            </w:r>
            <w:r>
              <w:rPr>
                <w:rFonts w:hint="default" w:ascii="Times New Roman" w:hAnsi="Times New Roman" w:cs="Times New Roman" w:eastAsiaTheme="minorEastAsia"/>
                <w:color w:val="auto"/>
                <w:kern w:val="0"/>
                <w:sz w:val="24"/>
                <w:szCs w:val="24"/>
                <w:vertAlign w:val="superscript"/>
              </w:rPr>
              <w:t>3</w:t>
            </w:r>
            <w:r>
              <w:rPr>
                <w:rFonts w:hint="default" w:ascii="Times New Roman" w:hAnsi="Times New Roman" w:cs="Times New Roman" w:eastAsiaTheme="minorEastAsia"/>
                <w:color w:val="auto"/>
                <w:kern w:val="0"/>
                <w:sz w:val="24"/>
                <w:szCs w:val="24"/>
              </w:rPr>
              <w:t>/d，全部蒸发损耗。</w:t>
            </w:r>
          </w:p>
          <w:tbl>
            <w:tblPr>
              <w:tblStyle w:val="24"/>
              <w:tblW w:w="926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428"/>
              <w:gridCol w:w="1233"/>
              <w:gridCol w:w="1121"/>
              <w:gridCol w:w="1298"/>
              <w:gridCol w:w="1126"/>
              <w:gridCol w:w="1113"/>
              <w:gridCol w:w="13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59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142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用水名称</w:t>
                  </w:r>
                </w:p>
              </w:tc>
              <w:tc>
                <w:tcPr>
                  <w:tcW w:w="123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用水标准</w:t>
                  </w:r>
                </w:p>
              </w:tc>
              <w:tc>
                <w:tcPr>
                  <w:tcW w:w="112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数量</w:t>
                  </w:r>
                </w:p>
              </w:tc>
              <w:tc>
                <w:tcPr>
                  <w:tcW w:w="129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日用水量(m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/d)</w:t>
                  </w:r>
                </w:p>
              </w:tc>
              <w:tc>
                <w:tcPr>
                  <w:tcW w:w="112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排水系数</w:t>
                  </w:r>
                </w:p>
              </w:tc>
              <w:tc>
                <w:tcPr>
                  <w:tcW w:w="111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日排水量(m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/d)</w:t>
                  </w:r>
                </w:p>
              </w:tc>
              <w:tc>
                <w:tcPr>
                  <w:tcW w:w="134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年废水量</w:t>
                  </w:r>
                </w:p>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42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生活用水</w:t>
                  </w:r>
                </w:p>
              </w:tc>
              <w:tc>
                <w:tcPr>
                  <w:tcW w:w="123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120L/人·d</w:t>
                  </w:r>
                </w:p>
              </w:tc>
              <w:tc>
                <w:tcPr>
                  <w:tcW w:w="112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6000人</w:t>
                  </w:r>
                </w:p>
              </w:tc>
              <w:tc>
                <w:tcPr>
                  <w:tcW w:w="129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720</w:t>
                  </w:r>
                </w:p>
              </w:tc>
              <w:tc>
                <w:tcPr>
                  <w:tcW w:w="112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0.85</w:t>
                  </w:r>
                </w:p>
              </w:tc>
              <w:tc>
                <w:tcPr>
                  <w:tcW w:w="111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612</w:t>
                  </w:r>
                </w:p>
              </w:tc>
              <w:tc>
                <w:tcPr>
                  <w:tcW w:w="134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171360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42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食堂用水</w:t>
                  </w:r>
                </w:p>
              </w:tc>
              <w:tc>
                <w:tcPr>
                  <w:tcW w:w="123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50L/人·d</w:t>
                  </w:r>
                </w:p>
              </w:tc>
              <w:tc>
                <w:tcPr>
                  <w:tcW w:w="112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5000人</w:t>
                  </w:r>
                </w:p>
              </w:tc>
              <w:tc>
                <w:tcPr>
                  <w:tcW w:w="129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250</w:t>
                  </w:r>
                </w:p>
              </w:tc>
              <w:tc>
                <w:tcPr>
                  <w:tcW w:w="112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0.85</w:t>
                  </w:r>
                </w:p>
              </w:tc>
              <w:tc>
                <w:tcPr>
                  <w:tcW w:w="111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212.5</w:t>
                  </w:r>
                </w:p>
              </w:tc>
              <w:tc>
                <w:tcPr>
                  <w:tcW w:w="134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59500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42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实验用水</w:t>
                  </w:r>
                </w:p>
              </w:tc>
              <w:tc>
                <w:tcPr>
                  <w:tcW w:w="123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9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12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0.85</w:t>
                  </w:r>
                </w:p>
              </w:tc>
              <w:tc>
                <w:tcPr>
                  <w:tcW w:w="111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4.25</w:t>
                  </w:r>
                </w:p>
              </w:tc>
              <w:tc>
                <w:tcPr>
                  <w:tcW w:w="134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42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绿化用水</w:t>
                  </w:r>
                </w:p>
              </w:tc>
              <w:tc>
                <w:tcPr>
                  <w:tcW w:w="123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2.5L/m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·次</w:t>
                  </w:r>
                </w:p>
              </w:tc>
              <w:tc>
                <w:tcPr>
                  <w:tcW w:w="112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113279m</w:t>
                  </w:r>
                  <w:r>
                    <w:rPr>
                      <w:rFonts w:hint="default" w:ascii="Times New Roman" w:hAnsi="Times New Roman" w:eastAsia="宋体" w:cs="Times New Roman"/>
                      <w:sz w:val="21"/>
                      <w:szCs w:val="21"/>
                      <w:vertAlign w:val="superscript"/>
                    </w:rPr>
                    <w:t>2</w:t>
                  </w:r>
                </w:p>
              </w:tc>
              <w:tc>
                <w:tcPr>
                  <w:tcW w:w="129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64.5</w:t>
                  </w:r>
                </w:p>
              </w:tc>
              <w:tc>
                <w:tcPr>
                  <w:tcW w:w="112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34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42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未预见用水</w:t>
                  </w:r>
                </w:p>
              </w:tc>
              <w:tc>
                <w:tcPr>
                  <w:tcW w:w="235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29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103.95</w:t>
                  </w:r>
                </w:p>
              </w:tc>
              <w:tc>
                <w:tcPr>
                  <w:tcW w:w="112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34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9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p>
              </w:tc>
              <w:tc>
                <w:tcPr>
                  <w:tcW w:w="142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合计</w:t>
                  </w:r>
                </w:p>
              </w:tc>
              <w:tc>
                <w:tcPr>
                  <w:tcW w:w="123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9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1143.45</w:t>
                  </w:r>
                </w:p>
              </w:tc>
              <w:tc>
                <w:tcPr>
                  <w:tcW w:w="112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1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828.75</w:t>
                  </w:r>
                </w:p>
              </w:tc>
              <w:tc>
                <w:tcPr>
                  <w:tcW w:w="134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232050</w:t>
                  </w:r>
                </w:p>
              </w:tc>
            </w:tr>
          </w:tbl>
          <w:p>
            <w:pPr>
              <w:pStyle w:val="18"/>
              <w:keepNext w:val="0"/>
              <w:keepLines w:val="0"/>
              <w:pageBreakBefore w:val="0"/>
              <w:widowControl/>
              <w:kinsoku/>
              <w:wordWrap/>
              <w:overflowPunct/>
              <w:topLinePunct w:val="0"/>
              <w:autoSpaceDE/>
              <w:autoSpaceDN/>
              <w:bidi w:val="0"/>
              <w:adjustRightInd w:val="0"/>
              <w:snapToGrid w:val="0"/>
              <w:spacing w:after="0" w:afterLines="0" w:line="360" w:lineRule="auto"/>
              <w:jc w:val="center"/>
              <w:textAlignment w:val="auto"/>
              <w:rPr>
                <w:rFonts w:hint="default" w:ascii="Times New Roman" w:hAnsi="Times New Roman" w:cs="Times New Roman" w:eastAsiaTheme="minorEastAsia"/>
                <w:b/>
                <w:bCs/>
                <w:sz w:val="24"/>
                <w:szCs w:val="24"/>
                <w:lang w:val="en-US" w:eastAsia="zh-CN"/>
              </w:rPr>
            </w:pPr>
            <w:r>
              <w:rPr>
                <w:rFonts w:ascii="Times New Roman" w:hAnsi="Times New Roman"/>
              </w:rPr>
              <w:object>
                <v:shape id="_x0000_i1025" o:spt="75" type="#_x0000_t75" style="height:290.35pt;width:398.05pt;" o:ole="t" filled="f" o:preferrelative="t" stroked="f" coordsize="21600,21600">
                  <v:path/>
                  <v:fill on="f" alignshape="1" focussize="0,0"/>
                  <v:stroke on="f"/>
                  <v:imagedata r:id="rId11" o:title=""/>
                  <o:lock v:ext="edit" aspectratio="t"/>
                  <w10:wrap type="none"/>
                  <w10:anchorlock/>
                </v:shape>
                <o:OLEObject Type="Embed" ProgID="Visio.Drawing.11" ShapeID="_x0000_i1025" DrawAspect="Content" ObjectID="_1468075725" r:id="rId10">
                  <o:LockedField>false</o:LockedField>
                </o:OLEObject>
              </w:object>
            </w:r>
          </w:p>
          <w:p>
            <w:pPr>
              <w:pStyle w:val="18"/>
              <w:keepNext w:val="0"/>
              <w:keepLines w:val="0"/>
              <w:pageBreakBefore w:val="0"/>
              <w:widowControl/>
              <w:kinsoku/>
              <w:wordWrap/>
              <w:overflowPunct/>
              <w:topLinePunct w:val="0"/>
              <w:autoSpaceDE/>
              <w:autoSpaceDN/>
              <w:bidi w:val="0"/>
              <w:adjustRightInd w:val="0"/>
              <w:snapToGrid w:val="0"/>
              <w:spacing w:after="0" w:afterLines="0" w:line="360" w:lineRule="auto"/>
              <w:jc w:val="center"/>
              <w:textAlignment w:val="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t>图 2-1  项目水平衡图  单位 m³/d</w:t>
            </w: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lang w:val="en-US" w:eastAsia="zh-CN"/>
              </w:rPr>
              <w:t>2.3</w:t>
            </w:r>
            <w:r>
              <w:rPr>
                <w:rFonts w:hint="default" w:ascii="Times New Roman" w:hAnsi="Times New Roman" w:cs="Times New Roman" w:eastAsiaTheme="minorEastAsia"/>
                <w:b/>
                <w:bCs/>
                <w:sz w:val="24"/>
                <w:szCs w:val="24"/>
              </w:rPr>
              <w:t>主要工艺流程及产物环节</w:t>
            </w:r>
          </w:p>
          <w:p>
            <w:pPr>
              <w:pStyle w:val="65"/>
              <w:keepNext w:val="0"/>
              <w:keepLines w:val="0"/>
              <w:pageBreakBefore w:val="0"/>
              <w:widowControl/>
              <w:kinsoku/>
              <w:wordWrap/>
              <w:overflowPunct/>
              <w:topLinePunct w:val="0"/>
              <w:autoSpaceDE w:val="0"/>
              <w:autoSpaceDN w:val="0"/>
              <w:bidi w:val="0"/>
              <w:adjustRightInd w:val="0"/>
              <w:snapToGrid w:val="0"/>
              <w:spacing w:after="0"/>
              <w:ind w:firstLine="480"/>
              <w:textAlignment w:val="auto"/>
              <w:rPr>
                <w:rFonts w:ascii="Times New Roman" w:hAnsi="Times New Roman"/>
                <w:sz w:val="24"/>
                <w:szCs w:val="24"/>
              </w:rPr>
            </w:pPr>
            <w:r>
              <w:rPr>
                <w:rFonts w:ascii="Times New Roman" w:hAnsi="Times New Roman"/>
                <w:sz w:val="24"/>
                <w:szCs w:val="24"/>
              </w:rPr>
              <w:t>本项目为产教融合项目，产教融合是指职业学校根据所设专业，积极开办专业产业，把产业与教学密切结合，相互支持，相互促进，把学校办成集人才培养，科学研究，科技服务为一体的产业性经营实体，形成</w:t>
            </w:r>
            <w:r>
              <w:rPr>
                <w:rFonts w:ascii="Times New Roman" w:hAnsi="Times New Roman"/>
                <w:sz w:val="24"/>
                <w:szCs w:val="24"/>
              </w:rPr>
              <w:fldChar w:fldCharType="begin"/>
            </w:r>
            <w:r>
              <w:rPr>
                <w:rFonts w:ascii="Times New Roman" w:hAnsi="Times New Roman"/>
                <w:sz w:val="24"/>
                <w:szCs w:val="24"/>
              </w:rPr>
              <w:instrText xml:space="preserve"> HYPERLINK "https://baike.sogou.com/lemma/ShowInnerLink.htm?lemmaId=72394311&amp;ss_c=ssc.citiao.link" \t "_blank" </w:instrText>
            </w:r>
            <w:r>
              <w:rPr>
                <w:rFonts w:ascii="Times New Roman" w:hAnsi="Times New Roman"/>
                <w:sz w:val="24"/>
                <w:szCs w:val="24"/>
              </w:rPr>
              <w:fldChar w:fldCharType="separate"/>
            </w:r>
            <w:r>
              <w:rPr>
                <w:rFonts w:ascii="Times New Roman" w:hAnsi="Times New Roman"/>
                <w:sz w:val="24"/>
                <w:szCs w:val="24"/>
              </w:rPr>
              <w:t>学校与企业</w:t>
            </w:r>
            <w:r>
              <w:rPr>
                <w:rFonts w:ascii="Times New Roman" w:hAnsi="Times New Roman"/>
                <w:sz w:val="24"/>
                <w:szCs w:val="24"/>
              </w:rPr>
              <w:fldChar w:fldCharType="end"/>
            </w:r>
            <w:r>
              <w:rPr>
                <w:rFonts w:ascii="Times New Roman" w:hAnsi="Times New Roman"/>
                <w:sz w:val="24"/>
                <w:szCs w:val="24"/>
              </w:rPr>
              <w:t>浑然一体的办学模式。营运期工艺流程与一般大学基本相同，只是更加侧重于学生在校实习、实验等。营运期工艺流程简述如下：</w:t>
            </w:r>
          </w:p>
          <w:p>
            <w:pPr>
              <w:pStyle w:val="65"/>
              <w:keepNext w:val="0"/>
              <w:keepLines w:val="0"/>
              <w:pageBreakBefore w:val="0"/>
              <w:widowControl/>
              <w:kinsoku/>
              <w:wordWrap/>
              <w:overflowPunct/>
              <w:topLinePunct w:val="0"/>
              <w:autoSpaceDE w:val="0"/>
              <w:autoSpaceDN w:val="0"/>
              <w:bidi w:val="0"/>
              <w:adjustRightInd w:val="0"/>
              <w:snapToGrid w:val="0"/>
              <w:spacing w:after="0"/>
              <w:ind w:firstLine="480"/>
              <w:textAlignment w:val="auto"/>
              <w:rPr>
                <w:rFonts w:ascii="Times New Roman" w:hAnsi="Times New Roman"/>
                <w:sz w:val="24"/>
                <w:szCs w:val="24"/>
              </w:rPr>
            </w:pPr>
            <w:r>
              <w:rPr>
                <w:rFonts w:ascii="Times New Roman" w:hAnsi="Times New Roman"/>
                <w:sz w:val="24"/>
                <w:szCs w:val="24"/>
              </w:rPr>
              <w:t>师生入校后，分别进行教学、生活、实验活动等：</w:t>
            </w:r>
          </w:p>
          <w:p>
            <w:pPr>
              <w:pStyle w:val="65"/>
              <w:keepNext w:val="0"/>
              <w:keepLines w:val="0"/>
              <w:pageBreakBefore w:val="0"/>
              <w:widowControl/>
              <w:kinsoku/>
              <w:wordWrap/>
              <w:overflowPunct/>
              <w:topLinePunct w:val="0"/>
              <w:autoSpaceDE w:val="0"/>
              <w:autoSpaceDN w:val="0"/>
              <w:bidi w:val="0"/>
              <w:adjustRightInd w:val="0"/>
              <w:snapToGrid w:val="0"/>
              <w:spacing w:after="0"/>
              <w:ind w:firstLine="480"/>
              <w:textAlignment w:val="auto"/>
              <w:rPr>
                <w:rFonts w:ascii="Times New Roman" w:hAnsi="Times New Roman"/>
                <w:sz w:val="24"/>
                <w:szCs w:val="24"/>
              </w:rPr>
            </w:pPr>
            <w:r>
              <w:rPr>
                <w:rFonts w:ascii="Times New Roman" w:hAnsi="Times New Roman"/>
                <w:sz w:val="24"/>
                <w:szCs w:val="24"/>
              </w:rPr>
              <w:t>（1）教学：本项目建成师生入校后学习、办公，在过程中会产生一定量的生活垃圾、生活污水、办公垃圾以及噪声。</w:t>
            </w:r>
          </w:p>
          <w:p>
            <w:pPr>
              <w:pStyle w:val="65"/>
              <w:keepNext w:val="0"/>
              <w:keepLines w:val="0"/>
              <w:pageBreakBefore w:val="0"/>
              <w:widowControl/>
              <w:kinsoku/>
              <w:wordWrap/>
              <w:overflowPunct/>
              <w:topLinePunct w:val="0"/>
              <w:autoSpaceDE w:val="0"/>
              <w:autoSpaceDN w:val="0"/>
              <w:bidi w:val="0"/>
              <w:adjustRightInd w:val="0"/>
              <w:snapToGrid w:val="0"/>
              <w:spacing w:after="0"/>
              <w:ind w:firstLine="480"/>
              <w:textAlignment w:val="auto"/>
              <w:rPr>
                <w:rFonts w:ascii="Times New Roman" w:hAnsi="Times New Roman"/>
                <w:sz w:val="24"/>
                <w:szCs w:val="24"/>
              </w:rPr>
            </w:pPr>
            <w:r>
              <w:rPr>
                <w:rFonts w:ascii="Times New Roman" w:hAnsi="Times New Roman"/>
                <w:sz w:val="24"/>
                <w:szCs w:val="24"/>
              </w:rPr>
              <w:t>（2）生活：学校内设有食堂，为教职员工及学生提供用餐；厨房在炒菜过程中会产生食堂油烟，蔬菜、就餐工具的洗涤过程中会产生有机物、油脂、悬浮物都较高的清洗废水，以及就餐过程中产生的少量厨余垃圾；烹饪过程中会产生噪声等；就医过程中产生的医疗垃圾；师生其他生活产生的生活垃圾和生活污水。</w:t>
            </w:r>
          </w:p>
          <w:p>
            <w:pPr>
              <w:pStyle w:val="65"/>
              <w:keepNext w:val="0"/>
              <w:keepLines w:val="0"/>
              <w:pageBreakBefore w:val="0"/>
              <w:widowControl/>
              <w:kinsoku/>
              <w:wordWrap/>
              <w:overflowPunct/>
              <w:topLinePunct w:val="0"/>
              <w:autoSpaceDE w:val="0"/>
              <w:autoSpaceDN w:val="0"/>
              <w:bidi w:val="0"/>
              <w:adjustRightInd w:val="0"/>
              <w:snapToGrid w:val="0"/>
              <w:spacing w:after="0"/>
              <w:ind w:firstLine="480"/>
              <w:textAlignment w:val="auto"/>
              <w:rPr>
                <w:rFonts w:ascii="Times New Roman" w:hAnsi="Times New Roman"/>
                <w:sz w:val="24"/>
                <w:szCs w:val="24"/>
              </w:rPr>
            </w:pPr>
            <w:r>
              <w:rPr>
                <w:rFonts w:ascii="Times New Roman" w:hAnsi="Times New Roman"/>
                <w:sz w:val="24"/>
                <w:szCs w:val="24"/>
              </w:rPr>
              <w:t>（3）实验：学校设有实验室，主要产生实验废水、实验废物、实验废气以及噪声等。</w:t>
            </w:r>
          </w:p>
          <w:p>
            <w:pPr>
              <w:pStyle w:val="65"/>
              <w:keepNext w:val="0"/>
              <w:keepLines w:val="0"/>
              <w:pageBreakBefore w:val="0"/>
              <w:widowControl/>
              <w:kinsoku/>
              <w:wordWrap/>
              <w:overflowPunct/>
              <w:topLinePunct w:val="0"/>
              <w:autoSpaceDE w:val="0"/>
              <w:autoSpaceDN w:val="0"/>
              <w:bidi w:val="0"/>
              <w:adjustRightInd w:val="0"/>
              <w:snapToGrid w:val="0"/>
              <w:spacing w:after="0"/>
              <w:ind w:firstLine="480"/>
              <w:textAlignment w:val="auto"/>
              <w:rPr>
                <w:rFonts w:ascii="Times New Roman" w:hAnsi="Times New Roman"/>
                <w:sz w:val="24"/>
                <w:szCs w:val="24"/>
              </w:rPr>
            </w:pPr>
            <w:r>
              <w:rPr>
                <w:rFonts w:ascii="Times New Roman" w:hAnsi="Times New Roman"/>
                <w:sz w:val="24"/>
                <w:szCs w:val="24"/>
              </w:rPr>
              <w:t>（4）公辅：主要包括停车场、预处理池、垃圾收集点等。车辆在进出停车场时及启动的时候会产生噪声及汽车尾气；预处理池运行一段时间后会产生一定量的污泥，需要定期清掏、清运；垃圾收集点恶臭等。</w:t>
            </w:r>
          </w:p>
          <w:p>
            <w:pPr>
              <w:pStyle w:val="65"/>
              <w:keepNext w:val="0"/>
              <w:keepLines w:val="0"/>
              <w:pageBreakBefore w:val="0"/>
              <w:widowControl/>
              <w:kinsoku/>
              <w:wordWrap/>
              <w:overflowPunct/>
              <w:topLinePunct w:val="0"/>
              <w:autoSpaceDE w:val="0"/>
              <w:autoSpaceDN w:val="0"/>
              <w:bidi w:val="0"/>
              <w:adjustRightInd w:val="0"/>
              <w:snapToGrid w:val="0"/>
              <w:spacing w:after="0"/>
              <w:ind w:firstLine="480"/>
              <w:textAlignment w:val="auto"/>
              <w:rPr>
                <w:rFonts w:ascii="Times New Roman" w:hAnsi="Times New Roman"/>
                <w:sz w:val="24"/>
                <w:szCs w:val="24"/>
              </w:rPr>
            </w:pPr>
            <w:r>
              <w:rPr>
                <w:rFonts w:ascii="Times New Roman" w:hAnsi="Times New Roman"/>
                <w:sz w:val="24"/>
                <w:szCs w:val="24"/>
              </w:rPr>
              <w:t>项目营运期工艺流程及产排污流程图见下图</w:t>
            </w:r>
            <w:r>
              <w:rPr>
                <w:rFonts w:hint="eastAsia" w:ascii="Times New Roman" w:hAnsi="Times New Roman"/>
                <w:sz w:val="24"/>
                <w:szCs w:val="24"/>
                <w:lang w:val="en-US" w:eastAsia="zh-CN"/>
              </w:rPr>
              <w:t>2</w:t>
            </w:r>
            <w:r>
              <w:rPr>
                <w:rFonts w:ascii="Times New Roman" w:hAnsi="Times New Roman"/>
                <w:sz w:val="24"/>
                <w:szCs w:val="24"/>
              </w:rPr>
              <w:t>-</w:t>
            </w:r>
            <w:r>
              <w:rPr>
                <w:rFonts w:hint="eastAsia" w:ascii="Times New Roman" w:hAnsi="Times New Roman"/>
                <w:sz w:val="24"/>
                <w:szCs w:val="24"/>
                <w:lang w:val="en-US" w:eastAsia="zh-CN"/>
              </w:rPr>
              <w:t>2</w:t>
            </w:r>
            <w:r>
              <w:rPr>
                <w:rFonts w:ascii="Times New Roman" w:hAnsi="Times New Roman"/>
                <w:sz w:val="24"/>
                <w:szCs w:val="24"/>
              </w:rPr>
              <w:t>所示。</w:t>
            </w:r>
          </w:p>
          <w:p>
            <w:pPr>
              <w:pStyle w:val="65"/>
              <w:keepNext w:val="0"/>
              <w:keepLines w:val="0"/>
              <w:pageBreakBefore w:val="0"/>
              <w:widowControl/>
              <w:kinsoku/>
              <w:wordWrap/>
              <w:overflowPunct/>
              <w:topLinePunct w:val="0"/>
              <w:autoSpaceDE w:val="0"/>
              <w:autoSpaceDN w:val="0"/>
              <w:bidi w:val="0"/>
              <w:adjustRightInd w:val="0"/>
              <w:snapToGrid w:val="0"/>
              <w:spacing w:after="0"/>
              <w:ind w:firstLine="480"/>
              <w:textAlignment w:val="auto"/>
              <w:rPr>
                <w:rFonts w:ascii="Times New Roman" w:hAnsi="Times New Roman"/>
                <w:sz w:val="24"/>
                <w:szCs w:val="24"/>
              </w:rPr>
            </w:pPr>
          </w:p>
          <w:p>
            <w:pPr>
              <w:jc w:val="center"/>
              <w:rPr>
                <w:rFonts w:ascii="Times New Roman" w:hAnsi="Times New Roman"/>
              </w:rPr>
            </w:pPr>
            <w:r>
              <w:rPr>
                <w:rFonts w:ascii="Times New Roman" w:hAnsi="Times New Roman"/>
              </w:rPr>
              <w:object>
                <v:shape id="_x0000_i1026" o:spt="75" type="#_x0000_t75" style="height:310.35pt;width:392.85pt;" o:ole="t" filled="f" o:preferrelative="t" stroked="f" coordsize="21600,21600">
                  <v:path/>
                  <v:fill on="f" alignshape="1" focussize="0,0"/>
                  <v:stroke on="f"/>
                  <v:imagedata r:id="rId13" o:title=""/>
                  <o:lock v:ext="edit" aspectratio="t"/>
                  <w10:wrap type="none"/>
                  <w10:anchorlock/>
                </v:shape>
                <o:OLEObject Type="Embed" ProgID="Visio.Drawing.15" ShapeID="_x0000_i1026" DrawAspect="Content" ObjectID="_1468075726" r:id="rId12">
                  <o:LockedField>false</o:LockedField>
                </o:OLEObject>
              </w:object>
            </w:r>
          </w:p>
          <w:p>
            <w:pPr>
              <w:spacing w:line="360" w:lineRule="auto"/>
              <w:jc w:val="center"/>
              <w:rPr>
                <w:rFonts w:ascii="Times New Roman" w:hAnsi="Times New Roman" w:eastAsia="黑体"/>
                <w:b/>
                <w:bCs/>
                <w:sz w:val="21"/>
                <w:szCs w:val="21"/>
              </w:rPr>
            </w:pPr>
            <w:r>
              <w:rPr>
                <w:rFonts w:ascii="Times New Roman" w:hAnsi="Times New Roman" w:eastAsia="黑体"/>
                <w:b/>
                <w:bCs/>
                <w:sz w:val="21"/>
                <w:szCs w:val="21"/>
              </w:rPr>
              <w:t>图</w:t>
            </w:r>
            <w:r>
              <w:rPr>
                <w:rFonts w:hint="eastAsia" w:ascii="Times New Roman" w:hAnsi="Times New Roman" w:eastAsia="黑体"/>
                <w:b/>
                <w:bCs/>
                <w:sz w:val="21"/>
                <w:szCs w:val="21"/>
                <w:lang w:val="en-US" w:eastAsia="zh-CN"/>
              </w:rPr>
              <w:t>2</w:t>
            </w:r>
            <w:r>
              <w:rPr>
                <w:rFonts w:ascii="Times New Roman" w:hAnsi="Times New Roman" w:eastAsia="黑体"/>
                <w:b/>
                <w:bCs/>
                <w:sz w:val="21"/>
                <w:szCs w:val="21"/>
              </w:rPr>
              <w:t>-2项目运营期工艺流程图</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textAlignment w:val="auto"/>
              <w:rPr>
                <w:rFonts w:hint="eastAsia" w:ascii="Times New Roman" w:hAnsi="Times New Roman" w:cs="Times New Roman" w:eastAsiaTheme="minorEastAsia"/>
                <w:b w:val="0"/>
                <w:bCs w:val="0"/>
                <w:sz w:val="24"/>
                <w:szCs w:val="24"/>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textAlignment w:val="auto"/>
              <w:rPr>
                <w:rFonts w:hint="eastAsia" w:ascii="Times New Roman" w:hAnsi="Times New Roman" w:cs="Times New Roman" w:eastAsiaTheme="minorEastAsia"/>
                <w:b w:val="0"/>
                <w:bCs w:val="0"/>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eastAsiaTheme="minorEastAsia"/>
                <w:b w:val="0"/>
                <w:bCs w:val="0"/>
                <w:sz w:val="24"/>
                <w:szCs w:val="24"/>
                <w:lang w:val="en-US" w:eastAsia="zh-CN"/>
              </w:rPr>
            </w:pPr>
          </w:p>
        </w:tc>
      </w:tr>
    </w:tbl>
    <w:p>
      <w:pPr>
        <w:spacing w:line="360" w:lineRule="auto"/>
        <w:rPr>
          <w:rFonts w:hint="default" w:ascii="Times New Roman" w:hAnsi="Times New Roman" w:eastAsia="仿宋_GB2312" w:cs="Times New Roman"/>
          <w:color w:val="auto"/>
          <w:sz w:val="21"/>
          <w:szCs w:val="21"/>
          <w:highlight w:val="none"/>
        </w:rPr>
        <w:sectPr>
          <w:foot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3"/>
        <w:rPr>
          <w:rFonts w:hint="eastAsia" w:ascii="Times New Roman" w:hAnsi="Times New Roman" w:eastAsia="宋体" w:cs="Times New Roman"/>
          <w:color w:val="ED7D31" w:themeColor="accent2"/>
          <w:highlight w:val="none"/>
          <w:lang w:val="en-US" w:eastAsia="zh-CN"/>
          <w14:textFill>
            <w14:solidFill>
              <w14:schemeClr w14:val="accent2"/>
            </w14:solidFill>
          </w14:textFill>
        </w:rPr>
      </w:pPr>
      <w:bookmarkStart w:id="48" w:name="_Toc14641"/>
      <w:r>
        <w:rPr>
          <w:rFonts w:hint="default" w:ascii="Times New Roman" w:hAnsi="Times New Roman" w:eastAsia="宋体" w:cs="Times New Roman"/>
          <w:color w:val="000000" w:themeColor="text1"/>
          <w:highlight w:val="none"/>
          <w14:textFill>
            <w14:solidFill>
              <w14:schemeClr w14:val="tx1"/>
            </w14:solidFill>
          </w14:textFill>
        </w:rPr>
        <w:t>表三</w:t>
      </w:r>
      <w:r>
        <w:rPr>
          <w:rFonts w:hint="eastAsia" w:ascii="Times New Roman" w:hAnsi="Times New Roman" w:eastAsia="宋体" w:cs="Times New Roman"/>
          <w:color w:val="ED7D31" w:themeColor="accent2"/>
          <w:highlight w:val="none"/>
          <w:lang w:val="en-US" w:eastAsia="zh-CN"/>
          <w14:textFill>
            <w14:solidFill>
              <w14:schemeClr w14:val="accent2"/>
            </w14:solidFill>
          </w14:textFill>
        </w:rPr>
        <w:t xml:space="preserve"> </w:t>
      </w:r>
      <w:r>
        <w:rPr>
          <w:rFonts w:hint="default" w:ascii="Times New Roman" w:hAnsi="Times New Roman" w:eastAsia="宋体" w:cs="Times New Roman"/>
          <w:color w:val="auto"/>
          <w:highlight w:val="none"/>
        </w:rPr>
        <w:t>主要污染物的产生、治理及排放</w:t>
      </w:r>
      <w:bookmarkEnd w:id="48"/>
    </w:p>
    <w:tbl>
      <w:tblPr>
        <w:tblStyle w:val="24"/>
        <w:tblW w:w="94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2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cs="Times New Roman" w:eastAsiaTheme="minorEastAsia"/>
                <w:b/>
                <w:bCs/>
                <w:color w:val="auto"/>
                <w:sz w:val="24"/>
                <w:szCs w:val="24"/>
                <w:highlight w:val="none"/>
                <w:lang w:val="en-US" w:eastAsia="zh-CN"/>
              </w:rPr>
              <w:t>3.1</w:t>
            </w:r>
            <w:r>
              <w:rPr>
                <w:rFonts w:hint="default" w:ascii="Times New Roman" w:hAnsi="Times New Roman" w:eastAsia="宋体" w:cs="Times New Roman"/>
                <w:b/>
                <w:bCs/>
                <w:sz w:val="24"/>
                <w:szCs w:val="24"/>
                <w:lang w:val="en-US" w:eastAsia="zh-CN"/>
              </w:rPr>
              <w:t>废水的产生及治理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（1）生活废水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污水经过项目内预处理池处理，达到《污水综合排放标准》（GB8978-1996）三级标准后，排入城市污水管网进入宜宾市临港白沙城镇污水处理厂（总处理规模：3万m3/d）处理达到《四川省岷江、沱江流域水污染物排放标准》（DB51/2311-2016）中“城镇污水处理厂”排放限值标准后，排入长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食堂废水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验室废化学试剂、高浓度酸碱液、实验仪器前三次清洗废水等废弃物由收集桶收集后存放至危废暂存间，统一送专业资质单位处理，严禁直排污水管，实验仪器三次以后清洗废水、桌面清洗废水通过酸碱中和处理后再排入预处理池。</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（3）实验废水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验室废化学试剂、高浓度酸碱液、实验仪器前三次清洗废水等废弃物由收集桶收集后存放至危废暂存间，统一送专业资质单位处理，严禁直排污水管，实验仪器三次以后清洗废水、桌面清洗废水通过酸碱中和处理后再排入预处理池。</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3.2废气的产生及治理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（1）食堂油烟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食堂应预留专用油烟通道，并安装油烟净化设施和隔油池，油烟经净化达标，满足《饮食业油烟排放标准》（GB18483-2001）中相关标准后，经预留烟道在屋顶高位排放。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（2）汽车废气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地下车库产生的尾气由抽排风系统抽至地面排风口处排放，车库内排风设备完善，汽车所排放的尾气污染物不会使外环境空气质量超标，对周边环境空气不构成明显影响，加强车库的通风以及周边绿化等措施，项目营运期汽车尾气对校区内和周边环境空气的影响不大。</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（3）实验废气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涉及实验废气排放的实验室主要基础实验楼群和专业实验楼，本项目设置有基础实验楼和专业实训楼，其中基础实验楼以计算机专业、云网络语言实验室为主，仅在4F设有1个化学实验楼，化学实验主要以无机、有机等课程为主，使用的化学试剂主要为酸碱溶液、少量有机物（如乙醇等），不涉及一类污染物、有毒有害的有机物等重金属。项目废气主要为有机试剂挥发产生的有机废气，无机酸碱试剂挥发产生的酸雾、氨气。项目化学实验较少，实验时仅使用少量的实验试剂，产生的废气量也较少。</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由于本项目目前还在初步设计阶段，实验室详细设计尚未确定。因此，环评要求，待后期项目实验室进行详细设计时，学校应根据具体的平面布局设置通风橱的位置和风量，实验室应安装通风橱，产生有机废气或者酸碱废气的实验应在通风橱内进行，通风橱末端设置活性炭过滤装置，实验废气通过通风橱收集+活性炭吸附后通到实验楼楼顶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（4）备用柴油发电机烟气</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备用柴油发电机作为消防和市政电网停电时学校的应急电源，柴油发电机使用时会产生废气，与汽车尾气相似，其成分主要为CO、CH、NO2，发电机房采用机械送、排风的形式，发电机房内保持着良好的通风性，柴油发电机排放的废气经抽风机抽至楼顶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（5）恶臭</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做好垃圾的袋装收集，垃圾分类投放和分类清运，同时为了尽量减少垃圾收集点对周围环境的影响，应定时清理消毒，并设有专人外运。</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内垃圾集中站要密闭设置，专人负责清理和喷洒消毒药水，及时运至市政垃圾站，减少垃圾恶臭的产生和逸散。同时垃圾集中站应设置地漏沟，用管道收集垃圾产生的渗滤液，把渗滤液集中收集后进入项目预处理池。</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3.3噪声的产生及控制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（1）机械噪声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项目主要噪声设备见下表。</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val="0"/>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val="0"/>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val="0"/>
                <w:sz w:val="21"/>
                <w:szCs w:val="21"/>
              </w:rPr>
            </w:pPr>
          </w:p>
          <w:p>
            <w:pPr>
              <w:pStyle w:val="2"/>
              <w:rPr>
                <w:rFonts w:hint="default"/>
              </w:rPr>
            </w:pP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val="0"/>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val="0"/>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val="0"/>
                <w:sz w:val="21"/>
                <w:szCs w:val="21"/>
              </w:rPr>
            </w:pPr>
            <w:r>
              <w:rPr>
                <w:rFonts w:hint="default" w:ascii="Times New Roman" w:hAnsi="Times New Roman" w:eastAsia="宋体" w:cs="Times New Roman"/>
                <w:b/>
                <w:bCs w:val="0"/>
                <w:sz w:val="21"/>
                <w:szCs w:val="21"/>
              </w:rPr>
              <w:t>表</w:t>
            </w:r>
            <w:r>
              <w:rPr>
                <w:rFonts w:hint="eastAsia" w:ascii="Times New Roman" w:hAnsi="Times New Roman" w:eastAsia="宋体" w:cs="Times New Roman"/>
                <w:b/>
                <w:bCs w:val="0"/>
                <w:sz w:val="21"/>
                <w:szCs w:val="21"/>
                <w:lang w:val="en-US" w:eastAsia="zh-CN"/>
              </w:rPr>
              <w:t>3</w:t>
            </w:r>
            <w:r>
              <w:rPr>
                <w:rFonts w:hint="default" w:ascii="Times New Roman" w:hAnsi="Times New Roman" w:eastAsia="宋体" w:cs="Times New Roman"/>
                <w:b/>
                <w:bCs w:val="0"/>
                <w:sz w:val="21"/>
                <w:szCs w:val="21"/>
              </w:rPr>
              <w:t>-1</w:t>
            </w:r>
            <w:r>
              <w:rPr>
                <w:rFonts w:hint="eastAsia" w:ascii="Times New Roman" w:hAnsi="Times New Roman" w:eastAsia="宋体" w:cs="Times New Roman"/>
                <w:b/>
                <w:bCs w:val="0"/>
                <w:sz w:val="21"/>
                <w:szCs w:val="21"/>
                <w:lang w:val="en-US" w:eastAsia="zh-CN"/>
              </w:rPr>
              <w:t xml:space="preserve"> </w:t>
            </w:r>
            <w:r>
              <w:rPr>
                <w:rFonts w:hint="default" w:ascii="Times New Roman" w:hAnsi="Times New Roman" w:eastAsia="宋体" w:cs="Times New Roman"/>
                <w:b/>
                <w:bCs w:val="0"/>
                <w:sz w:val="21"/>
                <w:szCs w:val="21"/>
              </w:rPr>
              <w:t>主要设备噪声源强一览表</w:t>
            </w:r>
          </w:p>
          <w:tbl>
            <w:tblPr>
              <w:tblStyle w:val="24"/>
              <w:tblpPr w:leftFromText="180" w:rightFromText="180" w:vertAnchor="text" w:horzAnchor="page" w:tblpX="221" w:tblpY="277"/>
              <w:tblOverlap w:val="never"/>
              <w:tblW w:w="4999"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493"/>
              <w:gridCol w:w="1073"/>
              <w:gridCol w:w="1988"/>
              <w:gridCol w:w="464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811"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b/>
                      <w:color w:val="auto"/>
                      <w:sz w:val="21"/>
                      <w:szCs w:val="21"/>
                    </w:rPr>
                  </w:pPr>
                  <w:r>
                    <w:rPr>
                      <w:rFonts w:ascii="Times New Roman" w:hAnsi="Times New Roman" w:eastAsia="宋体"/>
                      <w:b/>
                      <w:color w:val="auto"/>
                      <w:sz w:val="21"/>
                      <w:szCs w:val="21"/>
                    </w:rPr>
                    <w:t>设备名称</w:t>
                  </w:r>
                </w:p>
              </w:tc>
              <w:tc>
                <w:tcPr>
                  <w:tcW w:w="583"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b/>
                      <w:color w:val="auto"/>
                      <w:sz w:val="21"/>
                      <w:szCs w:val="21"/>
                    </w:rPr>
                  </w:pPr>
                  <w:r>
                    <w:rPr>
                      <w:rFonts w:ascii="Times New Roman" w:hAnsi="Times New Roman" w:eastAsia="宋体"/>
                      <w:b/>
                      <w:color w:val="auto"/>
                      <w:sz w:val="21"/>
                      <w:szCs w:val="21"/>
                    </w:rPr>
                    <w:t>数量（台）</w:t>
                  </w:r>
                </w:p>
              </w:tc>
              <w:tc>
                <w:tcPr>
                  <w:tcW w:w="1080"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b/>
                      <w:color w:val="auto"/>
                      <w:sz w:val="21"/>
                      <w:szCs w:val="21"/>
                    </w:rPr>
                  </w:pPr>
                  <w:r>
                    <w:rPr>
                      <w:rFonts w:ascii="Times New Roman" w:hAnsi="Times New Roman" w:eastAsia="宋体"/>
                      <w:b/>
                      <w:color w:val="auto"/>
                      <w:sz w:val="21"/>
                      <w:szCs w:val="21"/>
                    </w:rPr>
                    <w:t>噪声源强 dB(A)</w:t>
                  </w:r>
                </w:p>
              </w:tc>
              <w:tc>
                <w:tcPr>
                  <w:tcW w:w="2524"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b/>
                      <w:color w:val="auto"/>
                      <w:sz w:val="21"/>
                      <w:szCs w:val="21"/>
                    </w:rPr>
                  </w:pPr>
                  <w:r>
                    <w:rPr>
                      <w:rFonts w:ascii="Times New Roman" w:hAnsi="Times New Roman" w:eastAsia="宋体"/>
                      <w:b/>
                      <w:color w:val="auto"/>
                      <w:sz w:val="21"/>
                      <w:szCs w:val="21"/>
                    </w:rPr>
                    <w:t>降噪措施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811"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柴油发电机</w:t>
                  </w:r>
                </w:p>
              </w:tc>
              <w:tc>
                <w:tcPr>
                  <w:tcW w:w="583"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1</w:t>
                  </w:r>
                </w:p>
              </w:tc>
              <w:tc>
                <w:tcPr>
                  <w:tcW w:w="1080"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95～100</w:t>
                  </w:r>
                </w:p>
              </w:tc>
              <w:tc>
                <w:tcPr>
                  <w:tcW w:w="2524"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选用低噪声设备，消声器，基础减震，机房隔声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811"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各式水泵</w:t>
                  </w:r>
                </w:p>
              </w:tc>
              <w:tc>
                <w:tcPr>
                  <w:tcW w:w="583"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约30</w:t>
                  </w:r>
                </w:p>
              </w:tc>
              <w:tc>
                <w:tcPr>
                  <w:tcW w:w="1080"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85～90</w:t>
                  </w:r>
                </w:p>
              </w:tc>
              <w:tc>
                <w:tcPr>
                  <w:tcW w:w="2524"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选用低噪声设备，基础减振，设置泵房进行隔声处理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811"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离心风机</w:t>
                  </w:r>
                </w:p>
              </w:tc>
              <w:tc>
                <w:tcPr>
                  <w:tcW w:w="583"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约50</w:t>
                  </w:r>
                </w:p>
              </w:tc>
              <w:tc>
                <w:tcPr>
                  <w:tcW w:w="1080"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85～90</w:t>
                  </w:r>
                </w:p>
              </w:tc>
              <w:tc>
                <w:tcPr>
                  <w:tcW w:w="2524"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选用低噪声设备，基础减震、消音器降噪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811"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空调</w:t>
                  </w:r>
                </w:p>
              </w:tc>
              <w:tc>
                <w:tcPr>
                  <w:tcW w:w="583"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约200</w:t>
                  </w:r>
                </w:p>
              </w:tc>
              <w:tc>
                <w:tcPr>
                  <w:tcW w:w="1080"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75～80</w:t>
                  </w:r>
                </w:p>
              </w:tc>
              <w:tc>
                <w:tcPr>
                  <w:tcW w:w="2524" w:type="pct"/>
                  <w:noWrap w:val="0"/>
                  <w:vAlign w:val="center"/>
                </w:tcPr>
                <w:p>
                  <w:pPr>
                    <w:pStyle w:val="68"/>
                    <w:keepNext w:val="0"/>
                    <w:keepLines w:val="0"/>
                    <w:pageBreakBefore w:val="0"/>
                    <w:widowControl/>
                    <w:kinsoku/>
                    <w:wordWrap/>
                    <w:overflowPunct/>
                    <w:topLinePunct w:val="0"/>
                    <w:autoSpaceDE/>
                    <w:autoSpaceDN/>
                    <w:bidi w:val="0"/>
                    <w:adjustRightInd w:val="0"/>
                    <w:snapToGrid w:val="0"/>
                    <w:spacing w:after="0"/>
                    <w:jc w:val="center"/>
                    <w:textAlignment w:val="auto"/>
                    <w:rPr>
                      <w:rFonts w:ascii="Times New Roman" w:hAnsi="Times New Roman" w:eastAsia="宋体"/>
                      <w:color w:val="auto"/>
                      <w:sz w:val="21"/>
                      <w:szCs w:val="21"/>
                    </w:rPr>
                  </w:pPr>
                  <w:r>
                    <w:rPr>
                      <w:rFonts w:ascii="Times New Roman" w:hAnsi="Times New Roman" w:eastAsia="宋体"/>
                      <w:color w:val="auto"/>
                      <w:sz w:val="21"/>
                      <w:szCs w:val="21"/>
                    </w:rPr>
                    <w:t>选用低噪声设备，基础减震、消音器降噪</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82"/>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经过以上措施后，机械噪声能够达标排放，对周边环境影响较小。</w:t>
            </w:r>
          </w:p>
          <w:p>
            <w:pPr>
              <w:keepNext w:val="0"/>
              <w:keepLines w:val="0"/>
              <w:pageBreakBefore w:val="0"/>
              <w:widowControl/>
              <w:kinsoku/>
              <w:wordWrap/>
              <w:overflowPunct/>
              <w:topLinePunct w:val="0"/>
              <w:autoSpaceDE/>
              <w:autoSpaceDN/>
              <w:bidi w:val="0"/>
              <w:adjustRightInd w:val="0"/>
              <w:snapToGrid w:val="0"/>
              <w:spacing w:after="0" w:line="360" w:lineRule="auto"/>
              <w:ind w:firstLine="482"/>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（2）车辆交通噪声</w:t>
            </w: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default" w:ascii="Times New Roman" w:hAnsi="Times New Roman" w:eastAsia="宋体" w:cs="Times New Roman"/>
                <w:b/>
                <w:bCs w:val="0"/>
                <w:sz w:val="21"/>
                <w:szCs w:val="21"/>
              </w:rPr>
            </w:pPr>
            <w:r>
              <w:rPr>
                <w:rFonts w:hint="default" w:ascii="Times New Roman" w:hAnsi="Times New Roman" w:eastAsia="宋体" w:cs="Times New Roman"/>
                <w:b/>
                <w:bCs w:val="0"/>
                <w:sz w:val="21"/>
                <w:szCs w:val="21"/>
              </w:rPr>
              <w:t>表</w:t>
            </w:r>
            <w:r>
              <w:rPr>
                <w:rFonts w:hint="eastAsia" w:ascii="Times New Roman" w:hAnsi="Times New Roman" w:eastAsia="宋体" w:cs="Times New Roman"/>
                <w:b/>
                <w:bCs w:val="0"/>
                <w:sz w:val="21"/>
                <w:szCs w:val="21"/>
                <w:lang w:val="en-US" w:eastAsia="zh-CN"/>
              </w:rPr>
              <w:t>3</w:t>
            </w:r>
            <w:r>
              <w:rPr>
                <w:rFonts w:hint="default" w:ascii="Times New Roman" w:hAnsi="Times New Roman" w:eastAsia="宋体" w:cs="Times New Roman"/>
                <w:b/>
                <w:bCs w:val="0"/>
                <w:sz w:val="21"/>
                <w:szCs w:val="21"/>
              </w:rPr>
              <w:t>-</w:t>
            </w:r>
            <w:r>
              <w:rPr>
                <w:rFonts w:hint="eastAsia" w:ascii="Times New Roman" w:hAnsi="Times New Roman" w:eastAsia="宋体" w:cs="Times New Roman"/>
                <w:b/>
                <w:bCs w:val="0"/>
                <w:sz w:val="21"/>
                <w:szCs w:val="21"/>
                <w:lang w:val="en-US" w:eastAsia="zh-CN"/>
              </w:rPr>
              <w:t>2</w:t>
            </w:r>
            <w:r>
              <w:rPr>
                <w:rFonts w:hint="default" w:ascii="Times New Roman" w:hAnsi="Times New Roman" w:eastAsia="宋体" w:cs="Times New Roman"/>
                <w:b/>
                <w:bCs w:val="0"/>
                <w:sz w:val="21"/>
                <w:szCs w:val="21"/>
              </w:rPr>
              <w:t xml:space="preserve"> </w:t>
            </w:r>
            <w:r>
              <w:rPr>
                <w:rFonts w:hint="eastAsia" w:ascii="Times New Roman" w:hAnsi="Times New Roman" w:eastAsia="宋体" w:cs="Times New Roman"/>
                <w:b/>
                <w:bCs w:val="0"/>
                <w:sz w:val="21"/>
                <w:szCs w:val="21"/>
                <w:lang w:val="en-US" w:eastAsia="zh-CN"/>
              </w:rPr>
              <w:t xml:space="preserve"> </w:t>
            </w:r>
            <w:r>
              <w:rPr>
                <w:rFonts w:hint="default" w:ascii="Times New Roman" w:hAnsi="Times New Roman" w:eastAsia="宋体" w:cs="Times New Roman"/>
                <w:b/>
                <w:bCs w:val="0"/>
                <w:sz w:val="21"/>
                <w:szCs w:val="21"/>
              </w:rPr>
              <w:t>进出车辆噪声源强</w:t>
            </w:r>
          </w:p>
          <w:tbl>
            <w:tblPr>
              <w:tblStyle w:val="24"/>
              <w:tblW w:w="0" w:type="auto"/>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2347"/>
              <w:gridCol w:w="2939"/>
              <w:gridCol w:w="367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234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声源</w:t>
                  </w:r>
                </w:p>
              </w:tc>
              <w:tc>
                <w:tcPr>
                  <w:tcW w:w="293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运行状况</w:t>
                  </w:r>
                </w:p>
              </w:tc>
              <w:tc>
                <w:tcPr>
                  <w:tcW w:w="3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升级[dB(A)]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69" w:hRule="atLeast"/>
                <w:jc w:val="center"/>
              </w:trPr>
              <w:tc>
                <w:tcPr>
                  <w:tcW w:w="234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小型车</w:t>
                  </w:r>
                </w:p>
              </w:tc>
              <w:tc>
                <w:tcPr>
                  <w:tcW w:w="293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怠速行驶</w:t>
                  </w:r>
                </w:p>
              </w:tc>
              <w:tc>
                <w:tcPr>
                  <w:tcW w:w="3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59~76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234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正常行驶</w:t>
                  </w:r>
                </w:p>
              </w:tc>
              <w:tc>
                <w:tcPr>
                  <w:tcW w:w="3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61~70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234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鸣笛</w:t>
                  </w:r>
                </w:p>
              </w:tc>
              <w:tc>
                <w:tcPr>
                  <w:tcW w:w="3677"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78~84</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建成营运后，应当加强对进出学院车辆及停车场的管理，禁止鸣笛，停车场的位置设置指示牌加以引导，并设置明显的进出口标志，避免车辆不必要的怠速、制动、起动甚至鸣号，尽量减少机动车频繁启动和怠速，限制校区内的行车速度，规范停车场的停车秩序等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（3）社会生活噪声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师生生活噪声较小，约50-60 dB（A）；运动会和文娱活动时的主要噪声源为人群呼声和广播声，其变化幅度较大，类比分析，看台处测得人群欢呼声最高可达96dB（A），广播声在看台处测得最高为85dB（A）.</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学校内正常进行教学区、住宿区产生的生活噪声较小。在举行大型运动会时会产生社会噪声、广播噪声，但大型活动举行一般为一年2次，这部分噪声为间歇产生，通过合理管理和距离衰减，可以实现厂界处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3.4固体废弃物的产生及处置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生活垃圾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垃圾由校后勤处请专人每天将全校垃圾清运至垃圾收集点，再统一运至市政垃圾站进行无害化处理。对办公垃圾中可能含有的硒鼓、废旧电池等不应与生活垃圾混装，应单独收集，以避免造成重金属对土壤和地下水的污染。</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厨余垃圾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项目建成运营前，建设单位落实并与有合格资质的油脂公司签订潲水油回收协议，桶装收集后送相关单位，每日运送，不得排入市政下水道。</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实验固体废弃物</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3</w:t>
            </w:r>
            <w:r>
              <w:rPr>
                <w:rFonts w:hint="default" w:ascii="Times New Roman" w:hAnsi="Times New Roman" w:eastAsia="宋体" w:cs="Times New Roman"/>
                <w:b/>
                <w:bCs/>
                <w:sz w:val="21"/>
                <w:szCs w:val="21"/>
              </w:rPr>
              <w:t>-</w:t>
            </w:r>
            <w:r>
              <w:rPr>
                <w:rFonts w:hint="eastAsia" w:ascii="Times New Roman" w:hAnsi="Times New Roman" w:eastAsia="宋体" w:cs="Times New Roman"/>
                <w:b/>
                <w:bCs/>
                <w:sz w:val="21"/>
                <w:szCs w:val="21"/>
                <w:lang w:val="en-US" w:eastAsia="zh-CN"/>
              </w:rPr>
              <w:t xml:space="preserve">3  </w:t>
            </w:r>
            <w:r>
              <w:rPr>
                <w:rFonts w:hint="default" w:ascii="Times New Roman" w:hAnsi="Times New Roman" w:eastAsia="宋体" w:cs="Times New Roman"/>
                <w:b/>
                <w:bCs/>
                <w:sz w:val="21"/>
                <w:szCs w:val="21"/>
              </w:rPr>
              <w:t>实验废物排放情况</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1839"/>
              <w:gridCol w:w="1841"/>
              <w:gridCol w:w="2736"/>
              <w:gridCol w:w="9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999"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楼名</w:t>
                  </w:r>
                </w:p>
              </w:tc>
              <w:tc>
                <w:tcPr>
                  <w:tcW w:w="999"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排放源</w:t>
                  </w:r>
                </w:p>
              </w:tc>
              <w:tc>
                <w:tcPr>
                  <w:tcW w:w="1000"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实验固废产生情况</w:t>
                  </w:r>
                </w:p>
              </w:tc>
              <w:tc>
                <w:tcPr>
                  <w:tcW w:w="1486"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处理措施</w:t>
                  </w:r>
                </w:p>
              </w:tc>
              <w:tc>
                <w:tcPr>
                  <w:tcW w:w="513"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预期治理效果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08" w:hRule="atLeast"/>
                <w:tblHeader/>
                <w:jc w:val="center"/>
              </w:trPr>
              <w:tc>
                <w:tcPr>
                  <w:tcW w:w="999"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基础实验楼</w:t>
                  </w:r>
                </w:p>
              </w:tc>
              <w:tc>
                <w:tcPr>
                  <w:tcW w:w="999"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基础化学类实验</w:t>
                  </w:r>
                </w:p>
              </w:tc>
              <w:tc>
                <w:tcPr>
                  <w:tcW w:w="1000"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废化学试剂、高浓度酸碱液、实验仪器前三次清洗废水以及废试剂瓶，约0.25t/a</w:t>
                  </w:r>
                </w:p>
              </w:tc>
              <w:tc>
                <w:tcPr>
                  <w:tcW w:w="1486"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作为危险废物交由有资质单位处置</w:t>
                  </w:r>
                </w:p>
              </w:tc>
              <w:tc>
                <w:tcPr>
                  <w:tcW w:w="513" w:type="pct"/>
                  <w:vMerge w:val="restar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合理处置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999"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专业实训楼</w:t>
                  </w:r>
                </w:p>
              </w:tc>
              <w:tc>
                <w:tcPr>
                  <w:tcW w:w="999"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基础物理、基础数学实验</w:t>
                  </w:r>
                </w:p>
              </w:tc>
              <w:tc>
                <w:tcPr>
                  <w:tcW w:w="1000"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少量废渣</w:t>
                  </w:r>
                </w:p>
              </w:tc>
              <w:tc>
                <w:tcPr>
                  <w:tcW w:w="1486"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由市政环卫部门统一处理</w:t>
                  </w:r>
                </w:p>
              </w:tc>
              <w:tc>
                <w:tcPr>
                  <w:tcW w:w="513" w:type="pct"/>
                  <w:vMerge w:val="continue"/>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999"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专业实训楼</w:t>
                  </w:r>
                </w:p>
              </w:tc>
              <w:tc>
                <w:tcPr>
                  <w:tcW w:w="999"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实验中心、机械实验室、BIM虚拟仿真实验室等</w:t>
                  </w:r>
                </w:p>
              </w:tc>
              <w:tc>
                <w:tcPr>
                  <w:tcW w:w="1000"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少量废渣</w:t>
                  </w:r>
                </w:p>
              </w:tc>
              <w:tc>
                <w:tcPr>
                  <w:tcW w:w="1486" w:type="pct"/>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由市政环卫部门统一处理</w:t>
                  </w:r>
                </w:p>
              </w:tc>
              <w:tc>
                <w:tcPr>
                  <w:tcW w:w="513" w:type="pct"/>
                  <w:vMerge w:val="continue"/>
                  <w:noWrap w:val="0"/>
                  <w:vAlign w:val="center"/>
                </w:tcPr>
                <w:p>
                  <w:pPr>
                    <w:pStyle w:val="65"/>
                    <w:keepNext w:val="0"/>
                    <w:keepLines w:val="0"/>
                    <w:pageBreakBefore w:val="0"/>
                    <w:widowControl/>
                    <w:kinsoku/>
                    <w:wordWrap/>
                    <w:overflowPunct/>
                    <w:topLinePunct w:val="0"/>
                    <w:autoSpaceDE w:val="0"/>
                    <w:autoSpaceDN w:val="0"/>
                    <w:bidi w:val="0"/>
                    <w:adjustRightInd w:val="0"/>
                    <w:snapToGrid w:val="0"/>
                    <w:spacing w:after="0" w:line="240" w:lineRule="atLeast"/>
                    <w:ind w:firstLine="0" w:firstLineChars="0"/>
                    <w:jc w:val="center"/>
                    <w:textAlignment w:val="auto"/>
                    <w:rPr>
                      <w:rFonts w:hint="default" w:ascii="Times New Roman" w:hAnsi="Times New Roman" w:eastAsia="宋体" w:cs="Times New Roman"/>
                      <w:color w:val="auto"/>
                      <w:sz w:val="21"/>
                      <w:szCs w:val="21"/>
                    </w:rPr>
                  </w:pPr>
                </w:p>
              </w:tc>
            </w:tr>
          </w:tbl>
          <w:p>
            <w:pPr>
              <w:pStyle w:val="65"/>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处置之前，业主在固体废物储存过程中，严禁将固体废物、危险废物随意露天堆放，其收集桶或箱的放置场所要进行防渗防漏处理：对危废暂存点、柴油储存间地面要硬化，并在危废暂存点、柴油储存间地面内设地沟或围堰；防止发生泄漏污染地下水（尤其是危险废物的暂时收集场所）；危险废物贮存设施都必须按环境保护图形标志《固体废物贮存（处置）场》（GB15562.2-1995）的规定设置警示标志。</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医疗垃圾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本项目在学生宿舍1的1F设置医务室，只进行药品销售及对伤口进行简单包扎、消毒等，不涉及打针输液，不设置手术科室。环评要求医疗垃圾均应作为危险废物交由有资质的部门统一处置。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污泥</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项目隔油池、预处理池等污泥估算为2.5t/a，由环卫部门定期清掏，委托环卫部门统一清理。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实际情况：与环评一致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3.5 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本项目总投资274090万元，其中</w:t>
            </w:r>
            <w:r>
              <w:rPr>
                <w:rFonts w:hint="eastAsia" w:ascii="Times New Roman" w:hAnsi="Times New Roman" w:eastAsia="宋体" w:cs="Times New Roman"/>
                <w:sz w:val="24"/>
                <w:szCs w:val="24"/>
                <w:lang w:val="en-US" w:eastAsia="zh-CN"/>
              </w:rPr>
              <w:t>一期工程投资为100830万元，</w:t>
            </w:r>
            <w:r>
              <w:rPr>
                <w:rFonts w:hint="default" w:ascii="Times New Roman" w:hAnsi="Times New Roman" w:eastAsia="宋体" w:cs="Times New Roman"/>
                <w:sz w:val="24"/>
                <w:szCs w:val="24"/>
              </w:rPr>
              <w:t>用于环保措施投资为</w:t>
            </w:r>
            <w:r>
              <w:rPr>
                <w:rFonts w:hint="eastAsia" w:ascii="Times New Roman" w:hAnsi="Times New Roman" w:eastAsia="宋体" w:cs="Times New Roman"/>
                <w:sz w:val="24"/>
                <w:szCs w:val="24"/>
                <w:lang w:val="en-US" w:eastAsia="zh-CN"/>
              </w:rPr>
              <w:t>192.3</w:t>
            </w:r>
            <w:r>
              <w:rPr>
                <w:rFonts w:hint="default" w:ascii="Times New Roman" w:hAnsi="Times New Roman" w:eastAsia="宋体" w:cs="Times New Roman"/>
                <w:sz w:val="24"/>
                <w:szCs w:val="24"/>
              </w:rPr>
              <w:t>万元，占总投资的0.</w:t>
            </w:r>
            <w:r>
              <w:rPr>
                <w:rFonts w:hint="eastAsia" w:ascii="Times New Roman" w:hAnsi="Times New Roman" w:eastAsia="宋体" w:cs="Times New Roman"/>
                <w:sz w:val="24"/>
                <w:szCs w:val="24"/>
                <w:lang w:val="en-US" w:eastAsia="zh-CN"/>
              </w:rPr>
              <w:t>19</w:t>
            </w:r>
            <w:r>
              <w:rPr>
                <w:rFonts w:hint="default" w:ascii="Times New Roman" w:hAnsi="Times New Roman" w:eastAsia="宋体" w:cs="Times New Roman"/>
                <w:sz w:val="24"/>
                <w:szCs w:val="24"/>
              </w:rPr>
              <w:t>%，环保设施已基本按照环评的要求基本建设完成，环评要求与实际建设环保设施对照表详见下表3-</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表3-</w:t>
            </w:r>
            <w:r>
              <w:rPr>
                <w:rFonts w:hint="eastAsia" w:ascii="Times New Roman" w:hAnsi="Times New Roman" w:eastAsia="宋体" w:cs="Times New Roman"/>
                <w:b/>
                <w:bCs/>
                <w:sz w:val="21"/>
                <w:szCs w:val="21"/>
                <w:lang w:val="en-US" w:eastAsia="zh-CN"/>
              </w:rPr>
              <w:t>4</w:t>
            </w:r>
            <w:r>
              <w:rPr>
                <w:rFonts w:hint="default" w:ascii="Times New Roman" w:hAnsi="Times New Roman" w:eastAsia="宋体" w:cs="Times New Roman"/>
                <w:b/>
                <w:bCs/>
                <w:sz w:val="21"/>
                <w:szCs w:val="21"/>
                <w:lang w:val="en-US" w:eastAsia="zh-CN"/>
              </w:rPr>
              <w:t xml:space="preserve"> 环保设施一览表</w:t>
            </w:r>
          </w:p>
          <w:tbl>
            <w:tblPr>
              <w:tblStyle w:val="24"/>
              <w:tblW w:w="4996"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426"/>
              <w:gridCol w:w="624"/>
              <w:gridCol w:w="3350"/>
              <w:gridCol w:w="1313"/>
              <w:gridCol w:w="2574"/>
              <w:gridCol w:w="91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553" w:type="pct"/>
                  <w:gridSpan w:val="2"/>
                  <w:vMerge w:val="restart"/>
                  <w:tcBorders>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污染类别</w:t>
                  </w:r>
                </w:p>
              </w:tc>
              <w:tc>
                <w:tcPr>
                  <w:tcW w:w="2543" w:type="pct"/>
                  <w:gridSpan w:val="2"/>
                  <w:tcBorders>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val="en-US" w:eastAsia="zh-CN"/>
                    </w:rPr>
                    <w:t>环评要求</w:t>
                  </w:r>
                </w:p>
              </w:tc>
              <w:tc>
                <w:tcPr>
                  <w:tcW w:w="1902" w:type="pct"/>
                  <w:gridSpan w:val="2"/>
                  <w:tcBorders>
                    <w:bottom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实际完成情况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553" w:type="pct"/>
                  <w:gridSpan w:val="2"/>
                  <w:vMerge w:val="continue"/>
                  <w:tcBorders>
                    <w:righ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b/>
                      <w:color w:val="auto"/>
                      <w:sz w:val="21"/>
                      <w:szCs w:val="21"/>
                      <w:lang w:val="en-US" w:eastAsia="zh-CN"/>
                    </w:rPr>
                  </w:pPr>
                </w:p>
              </w:tc>
              <w:tc>
                <w:tcPr>
                  <w:tcW w:w="1825" w:type="pct"/>
                  <w:tcBorders>
                    <w:top w:val="single" w:color="auto" w:sz="4" w:space="0"/>
                    <w:left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治理措施</w:t>
                  </w:r>
                </w:p>
              </w:tc>
              <w:tc>
                <w:tcPr>
                  <w:tcW w:w="718" w:type="pct"/>
                  <w:tcBorders>
                    <w:top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投资（万元）</w:t>
                  </w:r>
                </w:p>
              </w:tc>
              <w:tc>
                <w:tcPr>
                  <w:tcW w:w="1403" w:type="pct"/>
                  <w:tcBorders>
                    <w:top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b/>
                      <w:color w:val="auto"/>
                      <w:sz w:val="21"/>
                      <w:szCs w:val="21"/>
                      <w:lang w:val="en-US" w:eastAsia="zh-CN" w:bidi="ar-SA"/>
                    </w:rPr>
                  </w:pPr>
                  <w:r>
                    <w:rPr>
                      <w:rFonts w:hint="default" w:ascii="Times New Roman" w:hAnsi="Times New Roman" w:eastAsia="宋体" w:cs="Times New Roman"/>
                      <w:b/>
                      <w:color w:val="auto"/>
                      <w:sz w:val="21"/>
                      <w:szCs w:val="21"/>
                      <w:lang w:val="en-US" w:eastAsia="zh-CN"/>
                    </w:rPr>
                    <w:t>治理措施</w:t>
                  </w:r>
                </w:p>
              </w:tc>
              <w:tc>
                <w:tcPr>
                  <w:tcW w:w="499" w:type="pct"/>
                  <w:tcBorders>
                    <w:top w:val="single" w:color="auto" w:sz="4" w:space="0"/>
                  </w:tcBorders>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b/>
                      <w:color w:val="auto"/>
                      <w:sz w:val="21"/>
                      <w:szCs w:val="21"/>
                      <w:lang w:val="en-US" w:eastAsia="zh-CN" w:bidi="ar-SA"/>
                    </w:rPr>
                  </w:pPr>
                  <w:r>
                    <w:rPr>
                      <w:rFonts w:hint="default" w:ascii="Times New Roman" w:hAnsi="Times New Roman" w:eastAsia="宋体" w:cs="Times New Roman"/>
                      <w:b/>
                      <w:color w:val="auto"/>
                      <w:sz w:val="21"/>
                      <w:szCs w:val="21"/>
                    </w:rPr>
                    <w:t>投资（万元）</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restar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施工期</w:t>
                  </w:r>
                </w:p>
              </w:tc>
              <w:tc>
                <w:tcPr>
                  <w:tcW w:w="344"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废气治理</w:t>
                  </w: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湿法作业、打围作业、硬化道路、设置冲洗设施、定时清扫施工现场等；使用清洁能源，加强机械设备维修保养；有毒有害物质含量少的环保油漆和涂料产品；加强管理、宣传教育。</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22.3</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湿法作业、打围作业、硬化道路、设置冲洗设施、定时清扫施工现场等；使用清洁能源，加强机械设备维修保养；有毒有害物质含量少的环保油漆和涂料产品；加强管理、宣传教育。</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22.3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restar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废水治理</w:t>
                  </w: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施工废水经隔油沉淀处理后用于施工过程，不外排；项目施工期设置沉砂池2座，5m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/座，砖混结构；设置沉砂池+隔油池，1m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/座</w:t>
                  </w:r>
                </w:p>
              </w:tc>
              <w:tc>
                <w:tcPr>
                  <w:tcW w:w="718" w:type="pct"/>
                  <w:vMerge w:val="restar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24.5</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施工废水经隔油沉淀处理后用于施工过程，不外排；项目施工期设置沉砂池2座，5m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/座，砖混结构；设置沉砂池+隔油池，1m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/座</w:t>
                  </w:r>
                </w:p>
              </w:tc>
              <w:tc>
                <w:tcPr>
                  <w:tcW w:w="499" w:type="pct"/>
                  <w:vMerge w:val="restar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24.5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城市管网建成前，施工期产生的生活污水经生活污水预处理收集后，施工单位拟委托环卫部门采用清污车定期清运至宜宾市临港白沙城镇污水处理厂处理后排入黄沙河；待后期与城市管网接通后，即施工期产生的生活污水通过城市管网排入宜宾市临港白沙城镇污水处理厂处理后排入黄沙河</w:t>
                  </w:r>
                </w:p>
              </w:tc>
              <w:tc>
                <w:tcPr>
                  <w:tcW w:w="718"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城市管网建成前，施工期产生的生活污水经生活污水预处理收集后，施工单位拟委托环卫部门采用清污车定期清运至宜宾市临港白沙城镇污水处理厂处理后排入黄沙河；待后期与城市管网接通后，即施工期产生的生活污水通过城市管网排入宜宾市临港白沙城镇污水处理厂处理后排入黄沙河</w:t>
                  </w:r>
                </w:p>
              </w:tc>
              <w:tc>
                <w:tcPr>
                  <w:tcW w:w="49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噪声治理</w:t>
                  </w: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加强施工管理，采用低噪音施工机械设备，合理安排施工时间，合理布置高噪声施工设备；进出车辆禁鸣。</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3.4</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加强施工管理，采用低噪音施工机械设备，合理安排施工时间，合理布置高噪声施工设备；进出车辆禁鸣</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固体废物</w:t>
                  </w: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建筑垃圾和装修垃圾收集后送至市政指定渣场；生活垃圾交环卫部门；</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建筑垃圾和装修垃圾收集后送至市政指定渣场；生活垃圾交环卫部门</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restar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营运期</w:t>
                  </w:r>
                </w:p>
              </w:tc>
              <w:tc>
                <w:tcPr>
                  <w:tcW w:w="344" w:type="pct"/>
                  <w:vMerge w:val="restar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废气治理</w:t>
                  </w: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学生食堂预留了专用餐饮烟道，并安装油烟净化处理装置，处理效率必须达到85%以上。</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学生食堂预留专用餐饮烟道，并安装油烟净化处理装置，处理效率必须达到85%以上</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地下车库排风设施</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计入主体工程内</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地下车库排风设施</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实验废气通过通风橱收集+活性炭吸附后引至实验室楼顶排放</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8.9</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rPr>
                    <w:t>实验废气通过通风橱收集+活性炭吸附后引至实验室楼顶排放</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废水治理</w:t>
                  </w: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产生废水经预处理达标（生活污水直接经预处理池处理，食堂废水先经隔油池处理后再排入预处理池，实验废水经中和池处理后排处预处理池）后经市政污水管网排入宜宾市临港白沙城镇污水处理厂处理达到《四川省岷江、沱江流域水污染物排放标准》（DB51/2311-2016）中“城镇污水处理厂”排放限值标准后排入长江。2个隔油池，每个Q=36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/h；预处理池约4个，防渗防漏处理，总有效容积为440m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；实验废水设置中和池1个，有效容积不小于2.2m</w:t>
                  </w:r>
                  <w:r>
                    <w:rPr>
                      <w:rFonts w:hint="default" w:ascii="Times New Roman" w:hAnsi="Times New Roman" w:eastAsia="宋体" w:cs="Times New Roman"/>
                      <w:color w:val="auto"/>
                      <w:sz w:val="21"/>
                      <w:szCs w:val="21"/>
                      <w:vertAlign w:val="superscript"/>
                    </w:rPr>
                    <w:t>3</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产生废水经预处理达标（生活污水直接经预处理池处理，食堂废水先经隔油池处理后再排入预处理池，实验废水经中和池处理后排处预处理池）后经市政污水管网排入宜宾市临港白沙城镇污水处理厂处理达到《四川省岷江、沱江流域水污染物排放标准》（DB51/2311-2016）中“城镇污水处理厂”排放限值标准后排入长江。2个隔油池，每个Q=36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/h；预处理池约4个，防渗防漏处理，总有效容积为440m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；实验废水设置中和池1个，有效容积不小于2.2m</w:t>
                  </w:r>
                  <w:r>
                    <w:rPr>
                      <w:rFonts w:hint="default" w:ascii="Times New Roman" w:hAnsi="Times New Roman" w:eastAsia="宋体" w:cs="Times New Roman"/>
                      <w:color w:val="auto"/>
                      <w:sz w:val="21"/>
                      <w:szCs w:val="21"/>
                      <w:vertAlign w:val="superscript"/>
                    </w:rPr>
                    <w:t>3</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噪声治理</w:t>
                  </w: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加强管理、宣传；减速、禁鸣等警示标识，绿化、合理设置营业时间；柴油发电机、水泵等设备位于独立的设备室内，设进/排风管消声装置、基础减震。</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4.2</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加强管理、宣传；减速、禁鸣等警示标识，绿化、合理设置营业时间；柴油发电机、水泵等设备位于独立的设备室内，设进/排风管消声装置、基础减震。</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restar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固体废物</w:t>
                  </w: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拟在校内设置足够数量的分类垃圾箱（桶），然后将日常生活垃圾收集于校园垃圾集中站，联系相关部门及时进行清运。</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在校内设置足够数量的分类垃圾箱（桶），然后将日常生活垃圾收集于校园垃圾集中站，联系相关部门及时进行清运。</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污泥统一收集可与生活垃圾一起交环卫部门处理。</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3.5</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污泥统一收集可与生活垃圾一起交环卫部门处理。</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与有合格资质的油脂公司签订潲水油回收协议。</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4.3</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与有合格资质的油脂公司签订潲水油回收协议。</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于实验室产生的废化学试剂、高浓度酸碱液、实验仪器前三次清洗废水以及废试剂瓶，设置暂存间暂时收集存放，并按照《中华人民共和国固体废物污染环境防治法》和GB18597-2001《危险废物贮存污染控制标准》中的有关规定，由具有相关资质的单位进行专门处理。</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于实验室产生的废化学试剂、高浓度酸碱液、实验仪器前三次清洗废水以及废试剂瓶，设置暂存间暂时收集存放，并按照《中华人民共和国固体废物污染环境防治法》和GB18597-2001《危险废物贮存污染控制标准》中的有关规定，由具有相关资质的单位进行专门处理。</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医疗垃圾均应作为危险废物交由有资质的部门统一处置</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医疗垃圾均应作为危险废物交由有资质的部门统一处置</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restar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地下水治</w:t>
                  </w:r>
                </w:p>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理</w:t>
                  </w: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对实验室危废暂存间地面进行防渗混凝土硬化基础上，并</w:t>
                  </w:r>
                  <w:r>
                    <w:rPr>
                      <w:rFonts w:hint="default" w:ascii="Times New Roman" w:hAnsi="Times New Roman" w:eastAsia="宋体" w:cs="Times New Roman"/>
                      <w:bCs/>
                      <w:color w:val="auto"/>
                      <w:sz w:val="21"/>
                      <w:szCs w:val="21"/>
                    </w:rPr>
                    <w:t>采用环氧树脂漆进行防渗处理，防渗级别达到</w:t>
                  </w:r>
                  <w:r>
                    <w:rPr>
                      <w:rFonts w:hint="default" w:ascii="Times New Roman" w:hAnsi="Times New Roman" w:eastAsia="宋体" w:cs="Times New Roman"/>
                      <w:color w:val="auto"/>
                      <w:sz w:val="21"/>
                      <w:szCs w:val="21"/>
                    </w:rPr>
                    <w:t>≤</w:t>
                  </w:r>
                  <w:r>
                    <w:rPr>
                      <w:rFonts w:hint="default" w:ascii="Times New Roman" w:hAnsi="Times New Roman" w:eastAsia="宋体" w:cs="Times New Roman"/>
                      <w:bCs/>
                      <w:color w:val="auto"/>
                      <w:sz w:val="21"/>
                      <w:szCs w:val="21"/>
                    </w:rPr>
                    <w:t>1.0×10</w:t>
                  </w:r>
                  <w:r>
                    <w:rPr>
                      <w:rStyle w:val="30"/>
                      <w:rFonts w:hint="default" w:ascii="Times New Roman" w:hAnsi="Times New Roman" w:eastAsia="宋体" w:cs="Times New Roman"/>
                      <w:color w:val="auto"/>
                      <w:sz w:val="21"/>
                      <w:szCs w:val="21"/>
                      <w:vertAlign w:val="superscript"/>
                    </w:rPr>
                    <w:t>-</w:t>
                  </w:r>
                  <w:r>
                    <w:rPr>
                      <w:rStyle w:val="30"/>
                      <w:rFonts w:hint="default" w:ascii="Times New Roman" w:hAnsi="Times New Roman" w:eastAsia="宋体" w:cs="Times New Roman"/>
                      <w:b w:val="0"/>
                      <w:color w:val="auto"/>
                      <w:sz w:val="21"/>
                      <w:szCs w:val="21"/>
                      <w:vertAlign w:val="superscript"/>
                    </w:rPr>
                    <w:t>10</w:t>
                  </w:r>
                  <w:r>
                    <w:rPr>
                      <w:rStyle w:val="30"/>
                      <w:rFonts w:hint="default" w:ascii="Times New Roman" w:hAnsi="Times New Roman" w:eastAsia="宋体" w:cs="Times New Roman"/>
                      <w:b w:val="0"/>
                      <w:color w:val="auto"/>
                      <w:sz w:val="21"/>
                      <w:szCs w:val="21"/>
                    </w:rPr>
                    <w:t>cm/s。</w:t>
                  </w:r>
                  <w:r>
                    <w:rPr>
                      <w:rFonts w:hint="default" w:ascii="Times New Roman" w:hAnsi="Times New Roman" w:eastAsia="宋体" w:cs="Times New Roman"/>
                      <w:color w:val="auto"/>
                      <w:sz w:val="21"/>
                      <w:szCs w:val="21"/>
                    </w:rPr>
                    <w:t>应在危废暂存房墙角设置导流槽，收集暂存过程中的“跑冒滴漏”的液体，导流槽与校区污水管网连通，不会进入地表水水体。</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对实验室危废暂存间地面进行防渗混凝土硬化基础上，并</w:t>
                  </w:r>
                  <w:r>
                    <w:rPr>
                      <w:rFonts w:hint="default" w:ascii="Times New Roman" w:hAnsi="Times New Roman" w:eastAsia="宋体" w:cs="Times New Roman"/>
                      <w:bCs/>
                      <w:color w:val="auto"/>
                      <w:sz w:val="21"/>
                      <w:szCs w:val="21"/>
                    </w:rPr>
                    <w:t>采用环氧树脂漆进行防渗处理，防渗级别达到</w:t>
                  </w:r>
                  <w:r>
                    <w:rPr>
                      <w:rFonts w:hint="default" w:ascii="Times New Roman" w:hAnsi="Times New Roman" w:eastAsia="宋体" w:cs="Times New Roman"/>
                      <w:color w:val="auto"/>
                      <w:sz w:val="21"/>
                      <w:szCs w:val="21"/>
                    </w:rPr>
                    <w:t>≤</w:t>
                  </w:r>
                  <w:r>
                    <w:rPr>
                      <w:rFonts w:hint="default" w:ascii="Times New Roman" w:hAnsi="Times New Roman" w:eastAsia="宋体" w:cs="Times New Roman"/>
                      <w:bCs/>
                      <w:color w:val="auto"/>
                      <w:sz w:val="21"/>
                      <w:szCs w:val="21"/>
                    </w:rPr>
                    <w:t>1.0×10</w:t>
                  </w:r>
                  <w:r>
                    <w:rPr>
                      <w:rStyle w:val="30"/>
                      <w:rFonts w:hint="default" w:ascii="Times New Roman" w:hAnsi="Times New Roman" w:eastAsia="宋体" w:cs="Times New Roman"/>
                      <w:color w:val="auto"/>
                      <w:sz w:val="21"/>
                      <w:szCs w:val="21"/>
                      <w:vertAlign w:val="superscript"/>
                    </w:rPr>
                    <w:t>-</w:t>
                  </w:r>
                  <w:r>
                    <w:rPr>
                      <w:rStyle w:val="30"/>
                      <w:rFonts w:hint="default" w:ascii="Times New Roman" w:hAnsi="Times New Roman" w:eastAsia="宋体" w:cs="Times New Roman"/>
                      <w:b w:val="0"/>
                      <w:color w:val="auto"/>
                      <w:sz w:val="21"/>
                      <w:szCs w:val="21"/>
                      <w:vertAlign w:val="superscript"/>
                    </w:rPr>
                    <w:t>10</w:t>
                  </w:r>
                  <w:r>
                    <w:rPr>
                      <w:rStyle w:val="30"/>
                      <w:rFonts w:hint="default" w:ascii="Times New Roman" w:hAnsi="Times New Roman" w:eastAsia="宋体" w:cs="Times New Roman"/>
                      <w:b w:val="0"/>
                      <w:color w:val="auto"/>
                      <w:sz w:val="21"/>
                      <w:szCs w:val="21"/>
                    </w:rPr>
                    <w:t>cm/s。</w:t>
                  </w:r>
                  <w:r>
                    <w:rPr>
                      <w:rFonts w:hint="default" w:ascii="Times New Roman" w:hAnsi="Times New Roman" w:eastAsia="宋体" w:cs="Times New Roman"/>
                      <w:color w:val="auto"/>
                      <w:sz w:val="21"/>
                      <w:szCs w:val="21"/>
                    </w:rPr>
                    <w:t>应在危废暂存房墙角设置导流槽，收集暂存过程中的“跑冒滴漏”的液体，导流槽与校区污水管网连通，不会进入地表水水体。</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1825" w:type="pct"/>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tLeast"/>
                    <w:jc w:val="left"/>
                    <w:textAlignment w:val="baseline"/>
                    <w:rPr>
                      <w:rFonts w:hint="default" w:ascii="Times New Roman" w:hAnsi="Times New Roman" w:eastAsia="宋体" w:cs="Times New Roman"/>
                      <w:color w:val="auto"/>
                      <w:sz w:val="21"/>
                      <w:szCs w:val="21"/>
                    </w:rPr>
                  </w:pPr>
                  <w:r>
                    <w:rPr>
                      <w:rStyle w:val="30"/>
                      <w:rFonts w:hint="default" w:ascii="Times New Roman" w:hAnsi="Times New Roman" w:eastAsia="宋体" w:cs="Times New Roman"/>
                      <w:b w:val="0"/>
                      <w:color w:val="auto"/>
                      <w:sz w:val="21"/>
                      <w:szCs w:val="21"/>
                    </w:rPr>
                    <w:t>对垃圾临时堆放间地面</w:t>
                  </w:r>
                  <w:r>
                    <w:rPr>
                      <w:rFonts w:hint="default" w:ascii="Times New Roman" w:hAnsi="Times New Roman" w:eastAsia="宋体" w:cs="Times New Roman"/>
                      <w:color w:val="auto"/>
                      <w:kern w:val="0"/>
                      <w:sz w:val="21"/>
                      <w:szCs w:val="21"/>
                    </w:rPr>
                    <w:t>在</w:t>
                  </w:r>
                  <w:r>
                    <w:rPr>
                      <w:rFonts w:hint="default" w:ascii="Times New Roman" w:hAnsi="Times New Roman" w:eastAsia="宋体" w:cs="Times New Roman"/>
                      <w:color w:val="auto"/>
                      <w:sz w:val="21"/>
                      <w:szCs w:val="21"/>
                    </w:rPr>
                    <w:t>进行防渗混凝土硬化基础上，铺设2mm HDPE防渗膜防渗（渗透系数≤</w:t>
                  </w:r>
                  <w:r>
                    <w:rPr>
                      <w:rFonts w:hint="default" w:ascii="Times New Roman" w:hAnsi="Times New Roman" w:eastAsia="宋体" w:cs="Times New Roman"/>
                      <w:bCs/>
                      <w:color w:val="auto"/>
                      <w:sz w:val="21"/>
                      <w:szCs w:val="21"/>
                    </w:rPr>
                    <w:t>1.0×</w:t>
                  </w:r>
                  <w:r>
                    <w:rPr>
                      <w:rFonts w:hint="default" w:ascii="Times New Roman" w:hAnsi="Times New Roman" w:eastAsia="宋体" w:cs="Times New Roman"/>
                      <w:color w:val="auto"/>
                      <w:sz w:val="21"/>
                      <w:szCs w:val="21"/>
                    </w:rPr>
                    <w:t>10</w:t>
                  </w:r>
                  <w:r>
                    <w:rPr>
                      <w:rFonts w:hint="default" w:ascii="Times New Roman" w:hAnsi="Times New Roman" w:eastAsia="宋体" w:cs="Times New Roman"/>
                      <w:color w:val="auto"/>
                      <w:sz w:val="21"/>
                      <w:szCs w:val="21"/>
                      <w:vertAlign w:val="superscript"/>
                    </w:rPr>
                    <w:t>-10</w:t>
                  </w:r>
                  <w:r>
                    <w:rPr>
                      <w:rFonts w:hint="default" w:ascii="Times New Roman" w:hAnsi="Times New Roman" w:eastAsia="宋体" w:cs="Times New Roman"/>
                      <w:color w:val="auto"/>
                      <w:sz w:val="21"/>
                      <w:szCs w:val="21"/>
                    </w:rPr>
                    <w:t>cm/s）。</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Style w:val="30"/>
                      <w:rFonts w:hint="default" w:ascii="Times New Roman" w:hAnsi="Times New Roman" w:eastAsia="宋体" w:cs="Times New Roman"/>
                      <w:b w:val="0"/>
                      <w:color w:val="auto"/>
                      <w:sz w:val="21"/>
                      <w:szCs w:val="21"/>
                    </w:rPr>
                    <w:t>对垃圾临时堆放间地面</w:t>
                  </w:r>
                  <w:r>
                    <w:rPr>
                      <w:rFonts w:hint="default" w:ascii="Times New Roman" w:hAnsi="Times New Roman" w:eastAsia="宋体" w:cs="Times New Roman"/>
                      <w:color w:val="auto"/>
                      <w:kern w:val="0"/>
                      <w:sz w:val="21"/>
                      <w:szCs w:val="21"/>
                    </w:rPr>
                    <w:t>在</w:t>
                  </w:r>
                  <w:r>
                    <w:rPr>
                      <w:rFonts w:hint="default" w:ascii="Times New Roman" w:hAnsi="Times New Roman" w:eastAsia="宋体" w:cs="Times New Roman"/>
                      <w:color w:val="auto"/>
                      <w:sz w:val="21"/>
                      <w:szCs w:val="21"/>
                    </w:rPr>
                    <w:t>进行防渗混凝土硬化基础上，铺设2mm HDPE防渗膜防渗（渗透系数≤</w:t>
                  </w:r>
                  <w:r>
                    <w:rPr>
                      <w:rFonts w:hint="default" w:ascii="Times New Roman" w:hAnsi="Times New Roman" w:eastAsia="宋体" w:cs="Times New Roman"/>
                      <w:bCs/>
                      <w:color w:val="auto"/>
                      <w:sz w:val="21"/>
                      <w:szCs w:val="21"/>
                    </w:rPr>
                    <w:t>1.0×</w:t>
                  </w:r>
                  <w:r>
                    <w:rPr>
                      <w:rFonts w:hint="default" w:ascii="Times New Roman" w:hAnsi="Times New Roman" w:eastAsia="宋体" w:cs="Times New Roman"/>
                      <w:color w:val="auto"/>
                      <w:sz w:val="21"/>
                      <w:szCs w:val="21"/>
                    </w:rPr>
                    <w:t>10</w:t>
                  </w:r>
                  <w:r>
                    <w:rPr>
                      <w:rFonts w:hint="default" w:ascii="Times New Roman" w:hAnsi="Times New Roman" w:eastAsia="宋体" w:cs="Times New Roman"/>
                      <w:color w:val="auto"/>
                      <w:sz w:val="21"/>
                      <w:szCs w:val="21"/>
                      <w:vertAlign w:val="superscript"/>
                    </w:rPr>
                    <w:t>-10</w:t>
                  </w:r>
                  <w:r>
                    <w:rPr>
                      <w:rFonts w:hint="default" w:ascii="Times New Roman" w:hAnsi="Times New Roman" w:eastAsia="宋体" w:cs="Times New Roman"/>
                      <w:color w:val="auto"/>
                      <w:sz w:val="21"/>
                      <w:szCs w:val="21"/>
                    </w:rPr>
                    <w:t>cm/s）。</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1825" w:type="pct"/>
                  <w:noWrap w:val="0"/>
                  <w:vAlign w:val="center"/>
                </w:tcPr>
                <w:p>
                  <w:pPr>
                    <w:keepNext w:val="0"/>
                    <w:keepLines w:val="0"/>
                    <w:pageBreakBefore w:val="0"/>
                    <w:widowControl/>
                    <w:kinsoku/>
                    <w:wordWrap/>
                    <w:overflowPunct/>
                    <w:topLinePunct w:val="0"/>
                    <w:autoSpaceDE w:val="0"/>
                    <w:autoSpaceDN w:val="0"/>
                    <w:bidi w:val="0"/>
                    <w:adjustRightInd w:val="0"/>
                    <w:snapToGrid w:val="0"/>
                    <w:spacing w:after="0" w:line="240" w:lineRule="atLeast"/>
                    <w:jc w:val="left"/>
                    <w:textAlignment w:val="baseline"/>
                    <w:rPr>
                      <w:rFonts w:hint="default" w:ascii="Times New Roman" w:hAnsi="Times New Roman" w:eastAsia="宋体" w:cs="Times New Roman"/>
                      <w:color w:val="auto"/>
                      <w:sz w:val="21"/>
                      <w:szCs w:val="21"/>
                    </w:rPr>
                  </w:pPr>
                  <w:r>
                    <w:rPr>
                      <w:rStyle w:val="30"/>
                      <w:rFonts w:hint="default" w:ascii="Times New Roman" w:hAnsi="Times New Roman" w:eastAsia="宋体" w:cs="Times New Roman"/>
                      <w:b w:val="0"/>
                      <w:color w:val="auto"/>
                      <w:sz w:val="21"/>
                      <w:szCs w:val="21"/>
                    </w:rPr>
                    <w:t>对预处理池、隔油池、中和池</w:t>
                  </w:r>
                  <w:r>
                    <w:rPr>
                      <w:rFonts w:hint="default" w:ascii="Times New Roman" w:hAnsi="Times New Roman" w:eastAsia="宋体" w:cs="Times New Roman"/>
                      <w:color w:val="auto"/>
                      <w:kern w:val="0"/>
                      <w:sz w:val="21"/>
                      <w:szCs w:val="21"/>
                    </w:rPr>
                    <w:t>池底在</w:t>
                  </w:r>
                  <w:r>
                    <w:rPr>
                      <w:rFonts w:hint="default" w:ascii="Times New Roman" w:hAnsi="Times New Roman" w:eastAsia="宋体" w:cs="Times New Roman"/>
                      <w:color w:val="auto"/>
                      <w:sz w:val="21"/>
                      <w:szCs w:val="21"/>
                    </w:rPr>
                    <w:t>进行防渗混凝土硬化基础上，铺设2mm HDPE防渗膜防渗（渗透系数≤</w:t>
                  </w:r>
                  <w:r>
                    <w:rPr>
                      <w:rFonts w:hint="default" w:ascii="Times New Roman" w:hAnsi="Times New Roman" w:eastAsia="宋体" w:cs="Times New Roman"/>
                      <w:bCs/>
                      <w:color w:val="auto"/>
                      <w:sz w:val="21"/>
                      <w:szCs w:val="21"/>
                    </w:rPr>
                    <w:t>1.0×</w:t>
                  </w:r>
                  <w:r>
                    <w:rPr>
                      <w:rFonts w:hint="default" w:ascii="Times New Roman" w:hAnsi="Times New Roman" w:eastAsia="宋体" w:cs="Times New Roman"/>
                      <w:color w:val="auto"/>
                      <w:sz w:val="21"/>
                      <w:szCs w:val="21"/>
                    </w:rPr>
                    <w:t>10</w:t>
                  </w:r>
                  <w:r>
                    <w:rPr>
                      <w:rFonts w:hint="default" w:ascii="Times New Roman" w:hAnsi="Times New Roman" w:eastAsia="宋体" w:cs="Times New Roman"/>
                      <w:color w:val="auto"/>
                      <w:sz w:val="21"/>
                      <w:szCs w:val="21"/>
                      <w:vertAlign w:val="superscript"/>
                    </w:rPr>
                    <w:t>-10</w:t>
                  </w:r>
                  <w:r>
                    <w:rPr>
                      <w:rFonts w:hint="default" w:ascii="Times New Roman" w:hAnsi="Times New Roman" w:eastAsia="宋体" w:cs="Times New Roman"/>
                      <w:color w:val="auto"/>
                      <w:sz w:val="21"/>
                      <w:szCs w:val="21"/>
                    </w:rPr>
                    <w:t>cm/s）。</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3.9</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Style w:val="30"/>
                      <w:rFonts w:hint="default" w:ascii="Times New Roman" w:hAnsi="Times New Roman" w:eastAsia="宋体" w:cs="Times New Roman"/>
                      <w:b w:val="0"/>
                      <w:color w:val="auto"/>
                      <w:sz w:val="21"/>
                      <w:szCs w:val="21"/>
                    </w:rPr>
                    <w:t>对预处理池、隔油池、中和池</w:t>
                  </w:r>
                  <w:r>
                    <w:rPr>
                      <w:rFonts w:hint="default" w:ascii="Times New Roman" w:hAnsi="Times New Roman" w:eastAsia="宋体" w:cs="Times New Roman"/>
                      <w:color w:val="auto"/>
                      <w:kern w:val="0"/>
                      <w:sz w:val="21"/>
                      <w:szCs w:val="21"/>
                    </w:rPr>
                    <w:t>池底在</w:t>
                  </w:r>
                  <w:r>
                    <w:rPr>
                      <w:rFonts w:hint="default" w:ascii="Times New Roman" w:hAnsi="Times New Roman" w:eastAsia="宋体" w:cs="Times New Roman"/>
                      <w:color w:val="auto"/>
                      <w:sz w:val="21"/>
                      <w:szCs w:val="21"/>
                    </w:rPr>
                    <w:t>进行防渗混凝土硬化基础上，铺设2mm HDPE防渗膜防渗（渗透系数≤</w:t>
                  </w:r>
                  <w:r>
                    <w:rPr>
                      <w:rFonts w:hint="default" w:ascii="Times New Roman" w:hAnsi="Times New Roman" w:eastAsia="宋体" w:cs="Times New Roman"/>
                      <w:bCs/>
                      <w:color w:val="auto"/>
                      <w:sz w:val="21"/>
                      <w:szCs w:val="21"/>
                    </w:rPr>
                    <w:t>1.0×</w:t>
                  </w:r>
                  <w:r>
                    <w:rPr>
                      <w:rFonts w:hint="default" w:ascii="Times New Roman" w:hAnsi="Times New Roman" w:eastAsia="宋体" w:cs="Times New Roman"/>
                      <w:color w:val="auto"/>
                      <w:sz w:val="21"/>
                      <w:szCs w:val="21"/>
                    </w:rPr>
                    <w:t>10</w:t>
                  </w:r>
                  <w:r>
                    <w:rPr>
                      <w:rFonts w:hint="default" w:ascii="Times New Roman" w:hAnsi="Times New Roman" w:eastAsia="宋体" w:cs="Times New Roman"/>
                      <w:color w:val="auto"/>
                      <w:sz w:val="21"/>
                      <w:szCs w:val="21"/>
                      <w:vertAlign w:val="superscript"/>
                    </w:rPr>
                    <w:t>-10</w:t>
                  </w:r>
                  <w:r>
                    <w:rPr>
                      <w:rFonts w:hint="default" w:ascii="Times New Roman" w:hAnsi="Times New Roman" w:eastAsia="宋体" w:cs="Times New Roman"/>
                      <w:color w:val="auto"/>
                      <w:sz w:val="21"/>
                      <w:szCs w:val="21"/>
                    </w:rPr>
                    <w:t>cm/s）。</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柴油发电机房地面防渗混凝土防渗处理（渗透系数≤</w:t>
                  </w:r>
                  <w:r>
                    <w:rPr>
                      <w:rFonts w:hint="default" w:ascii="Times New Roman" w:hAnsi="Times New Roman" w:eastAsia="宋体" w:cs="Times New Roman"/>
                      <w:bCs/>
                      <w:color w:val="auto"/>
                      <w:sz w:val="21"/>
                      <w:szCs w:val="21"/>
                    </w:rPr>
                    <w:t>1.0×</w:t>
                  </w:r>
                  <w:r>
                    <w:rPr>
                      <w:rFonts w:hint="default" w:ascii="Times New Roman" w:hAnsi="Times New Roman" w:eastAsia="宋体" w:cs="Times New Roman"/>
                      <w:color w:val="auto"/>
                      <w:sz w:val="21"/>
                      <w:szCs w:val="21"/>
                    </w:rPr>
                    <w:t>10</w:t>
                  </w:r>
                  <w:r>
                    <w:rPr>
                      <w:rFonts w:hint="default" w:ascii="Times New Roman" w:hAnsi="Times New Roman" w:eastAsia="宋体" w:cs="Times New Roman"/>
                      <w:color w:val="auto"/>
                      <w:sz w:val="21"/>
                      <w:szCs w:val="21"/>
                      <w:vertAlign w:val="superscript"/>
                    </w:rPr>
                    <w:t>-10</w:t>
                  </w:r>
                  <w:r>
                    <w:rPr>
                      <w:rFonts w:hint="default" w:ascii="Times New Roman" w:hAnsi="Times New Roman" w:eastAsia="宋体" w:cs="Times New Roman"/>
                      <w:color w:val="auto"/>
                      <w:sz w:val="21"/>
                      <w:szCs w:val="21"/>
                    </w:rPr>
                    <w:t>cm/s），柴油发电机四周设围堰，将柴油发电机内柴油可能发生的“跑、冒、滴、漏”对地下水的风险降至最低。</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4.2</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柴油发电机房地面防渗混凝土防渗处理（渗透系数≤</w:t>
                  </w:r>
                  <w:r>
                    <w:rPr>
                      <w:rFonts w:hint="default" w:ascii="Times New Roman" w:hAnsi="Times New Roman" w:eastAsia="宋体" w:cs="Times New Roman"/>
                      <w:bCs/>
                      <w:color w:val="auto"/>
                      <w:sz w:val="21"/>
                      <w:szCs w:val="21"/>
                    </w:rPr>
                    <w:t>1.0×</w:t>
                  </w:r>
                  <w:r>
                    <w:rPr>
                      <w:rFonts w:hint="default" w:ascii="Times New Roman" w:hAnsi="Times New Roman" w:eastAsia="宋体" w:cs="Times New Roman"/>
                      <w:color w:val="auto"/>
                      <w:sz w:val="21"/>
                      <w:szCs w:val="21"/>
                    </w:rPr>
                    <w:t>10</w:t>
                  </w:r>
                  <w:r>
                    <w:rPr>
                      <w:rFonts w:hint="default" w:ascii="Times New Roman" w:hAnsi="Times New Roman" w:eastAsia="宋体" w:cs="Times New Roman"/>
                      <w:color w:val="auto"/>
                      <w:sz w:val="21"/>
                      <w:szCs w:val="21"/>
                      <w:vertAlign w:val="superscript"/>
                    </w:rPr>
                    <w:t>-10</w:t>
                  </w:r>
                  <w:r>
                    <w:rPr>
                      <w:rFonts w:hint="default" w:ascii="Times New Roman" w:hAnsi="Times New Roman" w:eastAsia="宋体" w:cs="Times New Roman"/>
                      <w:color w:val="auto"/>
                      <w:sz w:val="21"/>
                      <w:szCs w:val="21"/>
                    </w:rPr>
                    <w:t>cm/s），柴油发电机四周设围堰，将柴油发电机内柴油可能发生的“跑、冒、滴、漏”对地下水的风险降至最低</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209" w:type="pct"/>
                  <w:vMerge w:val="continue"/>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344"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其它</w:t>
                  </w: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绿化面积113279m</w:t>
                  </w:r>
                  <w:r>
                    <w:rPr>
                      <w:rFonts w:hint="default" w:ascii="Times New Roman" w:hAnsi="Times New Roman" w:eastAsia="宋体" w:cs="Times New Roman"/>
                      <w:color w:val="auto"/>
                      <w:sz w:val="21"/>
                      <w:szCs w:val="21"/>
                      <w:vertAlign w:val="superscript"/>
                    </w:rPr>
                    <w:t>2</w:t>
                  </w: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68</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绿化面积113279m</w:t>
                  </w:r>
                  <w:r>
                    <w:rPr>
                      <w:rFonts w:hint="default" w:ascii="Times New Roman" w:hAnsi="Times New Roman" w:eastAsia="宋体" w:cs="Times New Roman"/>
                      <w:color w:val="auto"/>
                      <w:sz w:val="21"/>
                      <w:szCs w:val="21"/>
                      <w:vertAlign w:val="superscript"/>
                    </w:rPr>
                    <w:t>2</w:t>
                  </w: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553" w:type="pct"/>
                  <w:gridSpan w:val="2"/>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合计</w:t>
                  </w:r>
                </w:p>
              </w:tc>
              <w:tc>
                <w:tcPr>
                  <w:tcW w:w="1825"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718"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192.3</w:t>
                  </w:r>
                </w:p>
              </w:tc>
              <w:tc>
                <w:tcPr>
                  <w:tcW w:w="1403"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rPr>
                  </w:pPr>
                </w:p>
              </w:tc>
              <w:tc>
                <w:tcPr>
                  <w:tcW w:w="499" w:type="pct"/>
                  <w:noWrap w:val="0"/>
                  <w:vAlign w:val="center"/>
                </w:tcPr>
                <w:p>
                  <w:pPr>
                    <w:keepNext w:val="0"/>
                    <w:keepLines w:val="0"/>
                    <w:pageBreakBefore w:val="0"/>
                    <w:widowControl/>
                    <w:kinsoku/>
                    <w:wordWrap/>
                    <w:overflowPunct/>
                    <w:topLinePunct w:val="0"/>
                    <w:bidi w:val="0"/>
                    <w:adjustRightInd w:val="0"/>
                    <w:snapToGrid w:val="0"/>
                    <w:spacing w:after="0" w:line="240" w:lineRule="atLeas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192.3</w:t>
                  </w:r>
                </w:p>
              </w:tc>
            </w:tr>
          </w:tbl>
          <w:p>
            <w:pPr>
              <w:pStyle w:val="18"/>
              <w:rPr>
                <w:rFonts w:hint="eastAsia" w:ascii="Times New Roman" w:hAnsi="Times New Roman" w:cs="Times New Roman" w:eastAsiaTheme="minorEastAsia"/>
                <w:color w:val="auto"/>
                <w:highlight w:val="none"/>
                <w:lang w:val="en-US" w:eastAsia="zh-CN"/>
              </w:rPr>
            </w:pPr>
          </w:p>
          <w:p>
            <w:pPr>
              <w:pStyle w:val="18"/>
              <w:rPr>
                <w:rFonts w:hint="eastAsia" w:ascii="Times New Roman" w:hAnsi="Times New Roman" w:cs="Times New Roman" w:eastAsiaTheme="minorEastAsia"/>
                <w:color w:val="auto"/>
                <w:highlight w:val="none"/>
                <w:lang w:val="en-US" w:eastAsia="zh-CN"/>
              </w:rPr>
            </w:pPr>
          </w:p>
          <w:p>
            <w:pPr>
              <w:pStyle w:val="18"/>
              <w:rPr>
                <w:rFonts w:hint="eastAsia" w:ascii="Times New Roman" w:hAnsi="Times New Roman" w:cs="Times New Roman" w:eastAsiaTheme="minorEastAsia"/>
                <w:color w:val="auto"/>
                <w:highlight w:val="none"/>
                <w:lang w:val="en-US" w:eastAsia="zh-CN"/>
              </w:rPr>
            </w:pPr>
          </w:p>
          <w:p>
            <w:pPr>
              <w:pStyle w:val="18"/>
              <w:rPr>
                <w:rFonts w:hint="eastAsia" w:ascii="Times New Roman" w:hAnsi="Times New Roman" w:cs="Times New Roman" w:eastAsiaTheme="minorEastAsia"/>
                <w:color w:val="auto"/>
                <w:highlight w:val="none"/>
                <w:lang w:val="en-US" w:eastAsia="zh-CN"/>
              </w:rPr>
            </w:pPr>
          </w:p>
          <w:p>
            <w:pPr>
              <w:pStyle w:val="18"/>
              <w:rPr>
                <w:rFonts w:hint="default" w:ascii="Times New Roman" w:hAnsi="Times New Roman" w:cs="Times New Roman" w:eastAsiaTheme="minorEastAsia"/>
                <w:color w:val="auto"/>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default" w:ascii="Times New Roman" w:hAnsi="Times New Roman" w:cs="Times New Roman" w:eastAsiaTheme="minorEastAsia"/>
          <w:bCs/>
          <w:color w:val="auto"/>
          <w:kern w:val="0"/>
          <w:sz w:val="21"/>
          <w:szCs w:val="21"/>
          <w:highlight w:val="none"/>
          <w:lang w:val="en-US" w:eastAsia="zh-CN"/>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default" w:ascii="Times New Roman" w:hAnsi="Times New Roman" w:eastAsia="宋体" w:cs="Times New Roman"/>
          <w:color w:val="auto"/>
          <w:highlight w:val="none"/>
        </w:rPr>
      </w:pPr>
      <w:bookmarkStart w:id="49" w:name="_Toc24327"/>
      <w:r>
        <w:rPr>
          <w:rFonts w:hint="default" w:ascii="Times New Roman" w:hAnsi="Times New Roman" w:eastAsia="宋体" w:cs="Times New Roman"/>
          <w:b/>
          <w:bCs/>
          <w:color w:val="auto"/>
          <w:sz w:val="28"/>
          <w:szCs w:val="22"/>
          <w:highlight w:val="none"/>
          <w:lang w:val="en-US" w:eastAsia="zh-CN" w:bidi="ar-SA"/>
        </w:rPr>
        <w:t>表四</w:t>
      </w:r>
      <w:r>
        <w:rPr>
          <w:rFonts w:hint="eastAsia" w:ascii="Times New Roman" w:hAnsi="Times New Roman" w:eastAsia="宋体" w:cs="Times New Roman"/>
          <w:b/>
          <w:bCs/>
          <w:color w:val="auto"/>
          <w:sz w:val="28"/>
          <w:szCs w:val="22"/>
          <w:highlight w:val="none"/>
          <w:lang w:val="en-US" w:eastAsia="zh-CN" w:bidi="ar-SA"/>
        </w:rPr>
        <w:t xml:space="preserve"> </w:t>
      </w:r>
      <w:r>
        <w:rPr>
          <w:rFonts w:hint="default" w:ascii="Times New Roman" w:hAnsi="Times New Roman" w:eastAsia="宋体" w:cs="Times New Roman"/>
          <w:b/>
          <w:bCs/>
          <w:color w:val="auto"/>
          <w:sz w:val="28"/>
          <w:szCs w:val="22"/>
          <w:highlight w:val="none"/>
          <w:lang w:val="en-US" w:eastAsia="zh-CN" w:bidi="ar-SA"/>
        </w:rPr>
        <w:t>建设项目环境影响报告表主要结论及审批部门审批决定</w:t>
      </w:r>
      <w:bookmarkEnd w:id="49"/>
    </w:p>
    <w:tbl>
      <w:tblPr>
        <w:tblStyle w:val="24"/>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4.1建设项目环境影响报告表主要结论（摘录环评报告表原文）</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1、</w:t>
            </w:r>
            <w:r>
              <w:rPr>
                <w:rFonts w:hint="default" w:ascii="Times New Roman" w:hAnsi="Times New Roman" w:eastAsia="宋体" w:cs="Times New Roman"/>
                <w:b/>
                <w:bCs/>
                <w:sz w:val="24"/>
                <w:szCs w:val="24"/>
              </w:rPr>
              <w:t>环境影响评价结论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符合国家的产业发展政策，符合城市总体规划的要求，项目建设区域无明显环境制约因素，工程拟采取的污染防治措施和本评价建议及要求的对策经济技术可行，在治污设施连续稳定运行的基础上，项目建成运行后不会改变项目区域现有的环境区域功能，工程的建设符合“达标排放、清洁生产、总量控制”的原则，本评价认为，本工程在全面落实环保设施及完善环评要求前提条件下，本项目建设，从环境保护的角度而言是可行的。</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rPr>
              <w:t>、环境影响评价建议</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（1）该项目建设方应重视环境保护重要性，认真落实本环评中提出的污染防治措施，保证各项环保投资落实到位，以切实有效控制各类污染问题，进一步提高区域环境质量。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2）该项目建设方应督促施工单位加强施工期的环保管理，必须落实施工期的各项污染防治对策，妥善处置弃土及建筑垃圾，施工结束后，拆除临时建筑物及清除建筑垃圾，采取场地平整，绿化等迹地恢复措施等。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（3）加强对员工的安全教育，定期对员工进行培训，杜绝意外事故的发生。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（4）学校建成后，应加强环境管理，设专门负责人分管全校环保工作，规范废水排污口。定期开设环境保护相关课程，提高全体师生的环保意识，自觉节约用水。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（5）做好垃圾收集工作，保证固体废物不乱洒乱放，保证校园清洁。</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（6）做好危险废物的管理、暂存工作。</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jc w:val="both"/>
              <w:textAlignment w:val="auto"/>
              <w:rPr>
                <w:rFonts w:hint="default" w:ascii="Times New Roman" w:hAnsi="Times New Roman" w:eastAsia="宋体" w:cs="Times New Roman"/>
                <w:b/>
                <w:bCs/>
                <w:color w:val="auto"/>
                <w:sz w:val="24"/>
                <w:szCs w:val="24"/>
                <w:highlight w:val="none"/>
                <w:lang w:val="en-US" w:eastAsia="zh-CN" w:bidi="ar-SA"/>
              </w:rPr>
            </w:pPr>
            <w:r>
              <w:rPr>
                <w:rFonts w:hint="default" w:ascii="Times New Roman" w:hAnsi="Times New Roman" w:eastAsia="宋体" w:cs="Times New Roman"/>
                <w:b/>
                <w:bCs/>
                <w:color w:val="auto"/>
                <w:sz w:val="24"/>
                <w:szCs w:val="24"/>
                <w:highlight w:val="none"/>
                <w:lang w:val="en-US" w:eastAsia="zh-CN" w:bidi="ar-SA"/>
              </w:rPr>
              <w:t>4.3审批部门审批决定（临环审批〔2020〕16号）</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22" w:firstLineChars="200"/>
              <w:jc w:val="center"/>
              <w:textAlignment w:val="auto"/>
              <w:rPr>
                <w:rFonts w:hint="default" w:ascii="Times New Roman" w:hAnsi="Times New Roman" w:eastAsia="宋体" w:cs="Times New Roman"/>
                <w:b/>
                <w:bCs/>
                <w:color w:val="000000" w:themeColor="text1"/>
                <w:sz w:val="21"/>
                <w:szCs w:val="21"/>
                <w:highlight w:val="none"/>
                <w:lang w:val="en-US" w:eastAsia="zh-CN" w:bidi="ar-SA"/>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bidi="ar-SA"/>
                <w14:textFill>
                  <w14:solidFill>
                    <w14:schemeClr w14:val="tx1"/>
                  </w14:solidFill>
                </w14:textFill>
              </w:rPr>
              <w:t>表4-1  对环评批复要求的落实情况</w:t>
            </w:r>
          </w:p>
          <w:tbl>
            <w:tblPr>
              <w:tblStyle w:val="24"/>
              <w:tblW w:w="9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72"/>
              <w:gridCol w:w="45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环评批复</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一、</w:t>
                  </w:r>
                  <w:r>
                    <w:rPr>
                      <w:rFonts w:hint="default" w:ascii="Times New Roman" w:hAnsi="Times New Roman" w:eastAsia="宋体" w:cs="Times New Roman"/>
                      <w:sz w:val="21"/>
                      <w:szCs w:val="21"/>
                    </w:rPr>
                    <w:t>严格落实建设期污染防治措施。加强对建设期各类污染的处理，落实污染防治措施，防止扬尘、噪声、施工废水污染环境。</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bookmarkStart w:id="50" w:name="bookmark6"/>
                  <w:r>
                    <w:rPr>
                      <w:rFonts w:hint="default" w:ascii="Times New Roman" w:hAnsi="Times New Roman" w:eastAsia="宋体" w:cs="Times New Roman"/>
                      <w:sz w:val="21"/>
                      <w:szCs w:val="21"/>
                    </w:rPr>
                    <w:t>（</w:t>
                  </w:r>
                  <w:bookmarkEnd w:id="50"/>
                  <w:r>
                    <w:rPr>
                      <w:rFonts w:hint="default" w:ascii="Times New Roman" w:hAnsi="Times New Roman" w:eastAsia="宋体" w:cs="Times New Roman"/>
                      <w:sz w:val="21"/>
                      <w:szCs w:val="21"/>
                    </w:rPr>
                    <w:t>一）严格控制噪声影响.尽量选用低噪声机械，工程施 工所用施工机械设备要事先对其进行常规工作状态下的噪音测 量，超过国家标准的机械禁止入场施工，严格按照《建筑施工 场界环境噪声排放标准》</w:t>
                  </w:r>
                  <w:r>
                    <w:rPr>
                      <w:rFonts w:hint="default" w:ascii="Times New Roman" w:hAnsi="Times New Roman" w:eastAsia="宋体" w:cs="Times New Roman"/>
                      <w:sz w:val="21"/>
                      <w:szCs w:val="21"/>
                      <w:lang w:val="en-US" w:eastAsia="en-US"/>
                    </w:rPr>
                    <w:t>（GB12523-2011）</w:t>
                  </w:r>
                  <w:r>
                    <w:rPr>
                      <w:rFonts w:hint="default" w:ascii="Times New Roman" w:hAnsi="Times New Roman" w:eastAsia="宋体" w:cs="Times New Roman"/>
                      <w:sz w:val="21"/>
                      <w:szCs w:val="21"/>
                    </w:rPr>
                    <w:t>的规定安排施工，确 保噪音达标排放。</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bookmarkStart w:id="51" w:name="bookmark7"/>
                  <w:r>
                    <w:rPr>
                      <w:rFonts w:hint="default" w:ascii="Times New Roman" w:hAnsi="Times New Roman" w:eastAsia="宋体" w:cs="Times New Roman"/>
                      <w:sz w:val="21"/>
                      <w:szCs w:val="21"/>
                    </w:rPr>
                    <w:t>（</w:t>
                  </w:r>
                  <w:bookmarkEnd w:id="51"/>
                  <w:r>
                    <w:rPr>
                      <w:rFonts w:hint="default" w:ascii="Times New Roman" w:hAnsi="Times New Roman" w:eastAsia="宋体" w:cs="Times New Roman"/>
                      <w:sz w:val="21"/>
                      <w:szCs w:val="21"/>
                    </w:rPr>
                    <w:t>二）严格按照“六必须、六不准”要求，落实扬尘控制 措施。从施工储料场的合理设置及储料的堆放、施工工艺的处 理、施工废弃物的处理等方面进行合理安排，减少施工扬尘对 周边环境的影响。</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bookmarkStart w:id="52" w:name="bookmark8"/>
                  <w:r>
                    <w:rPr>
                      <w:rFonts w:hint="default" w:ascii="Times New Roman" w:hAnsi="Times New Roman" w:eastAsia="宋体" w:cs="Times New Roman"/>
                      <w:sz w:val="21"/>
                      <w:szCs w:val="21"/>
                    </w:rPr>
                    <w:t>（</w:t>
                  </w:r>
                  <w:bookmarkEnd w:id="52"/>
                  <w:r>
                    <w:rPr>
                      <w:rFonts w:hint="default" w:ascii="Times New Roman" w:hAnsi="Times New Roman" w:eastAsia="宋体" w:cs="Times New Roman"/>
                      <w:sz w:val="21"/>
                      <w:szCs w:val="21"/>
                    </w:rPr>
                    <w:t>三）落实施工期对地表水环境的保护措施。合理安排油 料、化学品等施工材料的堆放位置，施工期产生的生活污水经 预处理后委托环卫部门采用清污车定期清运至白沙城镇污水处理厂处理后达标排放。</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bookmarkStart w:id="53" w:name="bookmark9"/>
                  <w:r>
                    <w:rPr>
                      <w:rFonts w:hint="default" w:ascii="Times New Roman" w:hAnsi="Times New Roman" w:eastAsia="宋体" w:cs="Times New Roman"/>
                      <w:sz w:val="21"/>
                      <w:szCs w:val="21"/>
                    </w:rPr>
                    <w:t>（</w:t>
                  </w:r>
                  <w:bookmarkEnd w:id="53"/>
                  <w:r>
                    <w:rPr>
                      <w:rFonts w:hint="default" w:ascii="Times New Roman" w:hAnsi="Times New Roman" w:eastAsia="宋体" w:cs="Times New Roman"/>
                      <w:sz w:val="21"/>
                      <w:szCs w:val="21"/>
                    </w:rPr>
                    <w:t>四）做好水土保持等生态保护工作。按照水土保持规 和要求，认真落实措施，将由于施工对周边生态造成的影响减 到最小，防治水土流失。</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项目已全面及时落实施工期各项环保措施，合理安排施工时间，禁止午休期间施工。落实了施工期废水和固废处置措施，有效控制施工噪声、扬尘对周围的影响。项目施工期已结束，未对造成施工扰民。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二</w:t>
                  </w:r>
                  <w:r>
                    <w:rPr>
                      <w:rFonts w:hint="default" w:ascii="Times New Roman" w:hAnsi="Times New Roman" w:eastAsia="宋体" w:cs="Times New Roman"/>
                      <w:sz w:val="21"/>
                      <w:szCs w:val="21"/>
                    </w:rPr>
                    <w:t>、项目运营期应做好以下工作</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en-US"/>
                    </w:rPr>
                    <w:t>（</w:t>
                  </w:r>
                  <w:r>
                    <w:rPr>
                      <w:rFonts w:hint="eastAsia" w:ascii="Times New Roman" w:hAnsi="Times New Roman" w:eastAsia="宋体" w:cs="Times New Roman"/>
                      <w:sz w:val="21"/>
                      <w:szCs w:val="21"/>
                      <w:lang w:val="en-US" w:eastAsia="zh-CN"/>
                    </w:rPr>
                    <w:t>一</w:t>
                  </w:r>
                  <w:r>
                    <w:rPr>
                      <w:rFonts w:hint="default" w:ascii="Times New Roman" w:hAnsi="Times New Roman" w:eastAsia="宋体" w:cs="Times New Roman"/>
                      <w:sz w:val="21"/>
                      <w:szCs w:val="21"/>
                      <w:lang w:val="en-US" w:eastAsia="en-US"/>
                    </w:rPr>
                    <w:t>）</w:t>
                  </w:r>
                  <w:r>
                    <w:rPr>
                      <w:rFonts w:hint="default" w:ascii="Times New Roman" w:hAnsi="Times New Roman" w:eastAsia="宋体" w:cs="Times New Roman"/>
                      <w:sz w:val="21"/>
                      <w:szCs w:val="21"/>
                    </w:rPr>
                    <w:t>做好废气治理措施</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1、食堂废气必须通过油烟净化处理装置处理后经预留的专 用烟道引至楼顶达标排放；2、地下停车场废气必须通过抽排风 机收集后排放；3、备用柴油发电机废气经抽风机抽至排风口排放；4、按照实验室平面布局图，合理布设通风橱等废气处理装 置，实验室废气经通风橱收集+活性炭吸附后有组织高空达标排 放。</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bookmarkStart w:id="54" w:name="bookmark11"/>
                  <w:r>
                    <w:rPr>
                      <w:rFonts w:hint="default" w:ascii="Times New Roman" w:hAnsi="Times New Roman" w:eastAsia="宋体" w:cs="Times New Roman"/>
                      <w:sz w:val="21"/>
                      <w:szCs w:val="21"/>
                    </w:rPr>
                    <w:t>（</w:t>
                  </w:r>
                  <w:bookmarkEnd w:id="54"/>
                  <w:r>
                    <w:rPr>
                      <w:rFonts w:hint="default" w:ascii="Times New Roman" w:hAnsi="Times New Roman" w:eastAsia="宋体" w:cs="Times New Roman"/>
                      <w:sz w:val="21"/>
                      <w:szCs w:val="21"/>
                    </w:rPr>
                    <w:t>二）做好固体废弃物污染防治措施</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1、生活固废定点收集，定期送至市政垃圾站处理；2、餐 余废弃物交由有资质的油脂公司进行处理，每日运送，不得排 入市政下水道；3、项目隔油池、预处理池等污泥由环卫部门定 期清掏，委托环卫部门统一清理；4、项目医务室产生的医疗垃 圾，规范暂存，定期交由有资质单位进行处理；5、实验室产生 的废弃试管、试剂瓶、药品等实验室固废，按照危险废弃物管 理规定，规范暂存，定期交由有资质单位进行处理。</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（三）做好废水污染防治措施</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1、项目产生生活污水（食堂废水经隔油池预处理后再进入 化粪池）经化粪池预处理后排入市政管网再由市政管网排入白 沙城镇污水处理厂处理达标后排放；2、项目实验室产生的实验 废液，按照危废管理规定进行管理，规范暂存，定期交由有资 质单位进行处理。</w:t>
                  </w:r>
                  <w:r>
                    <w:rPr>
                      <w:rFonts w:hint="default" w:ascii="Times New Roman" w:hAnsi="Times New Roman" w:eastAsia="宋体" w:cs="Times New Roman"/>
                      <w:sz w:val="21"/>
                      <w:szCs w:val="21"/>
                    </w:rPr>
                    <w:br w:type="page"/>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（四）做好噪音污染防治措施</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合理进行项目总平面布局，采取有效的减振、隔声、消声 措施，控制设备噪声污染，确保噪声达标排放。</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1、项目已落实废水治理措施：</w:t>
                  </w:r>
                  <w:r>
                    <w:rPr>
                      <w:rFonts w:hint="default" w:ascii="Times New Roman" w:hAnsi="Times New Roman" w:eastAsia="宋体" w:cs="Times New Roman"/>
                      <w:sz w:val="21"/>
                      <w:szCs w:val="21"/>
                    </w:rPr>
                    <w:t>生活污水（食堂废水经隔油池预处理后再进入化粪池）经化粪池预处理后排入市政管网再由市政管网排入白沙城镇污水处理厂处理达标后排放；项目实验室产生的实验 废液，按照危废管理规定进行管理，规范暂存，定期交由有资 质单位进行处理。</w:t>
                  </w:r>
                  <w:r>
                    <w:rPr>
                      <w:rFonts w:hint="default" w:ascii="Times New Roman" w:hAnsi="Times New Roman" w:eastAsia="宋体" w:cs="Times New Roman"/>
                      <w:sz w:val="21"/>
                      <w:szCs w:val="21"/>
                    </w:rPr>
                    <w:br w:type="page"/>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2、本项目产生的大气污染物主要是食堂油烟、地下停车场废气、备用柴油发电机废气、实验室废气等。均得到了合理有效的处置，食堂油烟</w:t>
                  </w:r>
                  <w:r>
                    <w:rPr>
                      <w:rFonts w:hint="default" w:ascii="Times New Roman" w:hAnsi="Times New Roman" w:eastAsia="宋体" w:cs="Times New Roman"/>
                      <w:sz w:val="21"/>
                      <w:szCs w:val="21"/>
                    </w:rPr>
                    <w:t>满足《饮食业油烟排放标准》（GB18483-2001）中相关标准</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实验室产生的废气能达到《大气污染物综合排放标准》（GB16297-1996）的2级标准要求。</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3、项目已落实噪声治理措施：噪音大设备采取了</w:t>
                  </w:r>
                  <w:r>
                    <w:rPr>
                      <w:rFonts w:hint="default" w:ascii="Times New Roman" w:hAnsi="Times New Roman" w:eastAsia="宋体" w:cs="Times New Roman"/>
                      <w:sz w:val="21"/>
                      <w:szCs w:val="21"/>
                    </w:rPr>
                    <w:t>有效的减振、隔声、消声 措施</w:t>
                  </w:r>
                  <w:r>
                    <w:rPr>
                      <w:rFonts w:hint="default" w:ascii="Times New Roman" w:hAnsi="Times New Roman" w:eastAsia="宋体" w:cs="Times New Roman"/>
                      <w:sz w:val="21"/>
                      <w:szCs w:val="21"/>
                      <w:lang w:val="en-US" w:eastAsia="zh-CN"/>
                    </w:rPr>
                    <w:t>，厂界噪声贡献值能满足《工业企业厂界环境噪声排放标准》（GB12348-2008）2类标准要求，对周边环境噪声影响较小。</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4、已落实固废治理措施：运营期产生的生活垃圾经收集后交由环卫部门统一处置；</w:t>
                  </w:r>
                  <w:r>
                    <w:rPr>
                      <w:rFonts w:hint="default" w:ascii="Times New Roman" w:hAnsi="Times New Roman" w:eastAsia="宋体" w:cs="Times New Roman"/>
                      <w:sz w:val="21"/>
                      <w:szCs w:val="21"/>
                    </w:rPr>
                    <w:t>餐 余废弃物交由有资质的油脂公司进行处理</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隔油池、预处理池等污泥由环卫部门定期清掏，统一清理</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医务室产生的医疗垃圾，规范暂存，定期交由有资质单位进行处理</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验室产生 的废弃试管、试剂瓶、药品等实验室固废，按照危险废弃物管理规定，规范暂存，定期交由有资质单位进行处理。</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三</w:t>
                  </w:r>
                  <w:r>
                    <w:rPr>
                      <w:rFonts w:hint="default" w:ascii="Times New Roman" w:hAnsi="Times New Roman" w:eastAsia="宋体" w:cs="Times New Roman"/>
                      <w:sz w:val="21"/>
                      <w:szCs w:val="21"/>
                    </w:rPr>
                    <w:t>、严格落实环境风险防范措施</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完善事故风险防范措施和应急预案，并认真落实，防范环 境风险事故发生。</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已完善</w:t>
                  </w:r>
                  <w:r>
                    <w:rPr>
                      <w:rFonts w:hint="default" w:ascii="Times New Roman" w:hAnsi="Times New Roman" w:eastAsia="宋体" w:cs="Times New Roman"/>
                      <w:sz w:val="21"/>
                      <w:szCs w:val="21"/>
                    </w:rPr>
                    <w:t>风险防范措施和应急预案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四</w:t>
                  </w:r>
                  <w:r>
                    <w:rPr>
                      <w:rFonts w:hint="default" w:ascii="Times New Roman" w:hAnsi="Times New Roman" w:eastAsia="宋体" w:cs="Times New Roman"/>
                      <w:sz w:val="21"/>
                      <w:szCs w:val="21"/>
                    </w:rPr>
                    <w:t>、严格落实环境信访维稳措施</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高度重视环境信访维稳工作，认真履行环境信访维稳主体 责任，及时妥善调处环境信访纠纷，切实维护所在区域社会稳定。</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项目已落实风险治理措施：</w:t>
                  </w:r>
                  <w:r>
                    <w:rPr>
                      <w:rFonts w:hint="default" w:ascii="Times New Roman" w:hAnsi="Times New Roman" w:eastAsia="宋体" w:cs="Times New Roman"/>
                      <w:sz w:val="21"/>
                      <w:szCs w:val="21"/>
                    </w:rPr>
                    <w:t>本项目爆破均委托有资质公司进行，并不在项目内存放雷管炸药</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已配备必要的应急设备和物资，切实加强日常管理，确保污染治理设施长期处于正常运行状态。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五、</w:t>
                  </w:r>
                  <w:r>
                    <w:rPr>
                      <w:rFonts w:hint="default" w:ascii="Times New Roman" w:hAnsi="Times New Roman" w:eastAsia="宋体" w:cs="Times New Roman"/>
                      <w:sz w:val="21"/>
                      <w:szCs w:val="21"/>
                    </w:rPr>
                    <w:t>项目建设必须依法严格执行环保“三同时”制度</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项目工程竣工后，投入使用前，按规定程序进行环保竣工 验收，验收合格后，项目方可正式投入生产。</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该项目环境影响报告表经批复后，若工程建设的性质、规 模、地点、工艺等发生重大变化，应依法重新办理环境影响评 价审批手续。</w:t>
                  </w:r>
                </w:p>
              </w:tc>
              <w:tc>
                <w:tcPr>
                  <w:tcW w:w="454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项目已</w:t>
                  </w:r>
                  <w:r>
                    <w:rPr>
                      <w:rFonts w:hint="default" w:ascii="Times New Roman" w:hAnsi="Times New Roman" w:eastAsia="宋体" w:cs="Times New Roman"/>
                      <w:sz w:val="21"/>
                      <w:szCs w:val="21"/>
                    </w:rPr>
                    <w:t>依法严格执行环保“三同时”制度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项目未发生重大变化。项目房屋建筑工程已建设完成。</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default" w:ascii="Times New Roman" w:hAnsi="Times New Roman" w:eastAsia="宋体" w:cs="Times New Roman"/>
                      <w:sz w:val="21"/>
                      <w:szCs w:val="21"/>
                      <w:lang w:val="en-US" w:eastAsia="zh-CN"/>
                    </w:rPr>
                  </w:pPr>
                </w:p>
              </w:tc>
            </w:tr>
          </w:tbl>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default" w:ascii="Times New Roman" w:hAnsi="Times New Roman" w:eastAsia="宋体" w:cs="Times New Roman"/>
                <w:color w:val="auto"/>
                <w:sz w:val="24"/>
                <w:szCs w:val="24"/>
                <w:highlight w:val="none"/>
                <w:lang w:val="en-US" w:eastAsia="zh-CN" w:bidi="ar-SA"/>
              </w:rPr>
            </w:pPr>
          </w:p>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default" w:ascii="Times New Roman" w:hAnsi="Times New Roman" w:eastAsia="宋体" w:cs="Times New Roman"/>
                <w:color w:val="auto"/>
                <w:sz w:val="24"/>
                <w:szCs w:val="24"/>
                <w:highlight w:val="none"/>
                <w:lang w:val="en-US" w:eastAsia="zh-CN" w:bidi="ar-SA"/>
              </w:rPr>
            </w:pPr>
          </w:p>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default" w:ascii="Times New Roman" w:hAnsi="Times New Roman" w:eastAsia="宋体" w:cs="Times New Roman"/>
                <w:color w:val="auto"/>
                <w:sz w:val="24"/>
                <w:szCs w:val="24"/>
                <w:highlight w:val="none"/>
                <w:lang w:val="en-US" w:eastAsia="zh-CN" w:bidi="ar-SA"/>
              </w:rPr>
            </w:pPr>
          </w:p>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default" w:ascii="Times New Roman" w:hAnsi="Times New Roman" w:eastAsia="宋体" w:cs="Times New Roman"/>
                <w:color w:val="auto"/>
                <w:sz w:val="24"/>
                <w:szCs w:val="24"/>
                <w:highlight w:val="none"/>
                <w:lang w:val="en-US" w:eastAsia="zh-CN" w:bidi="ar-SA"/>
              </w:rPr>
            </w:pPr>
          </w:p>
        </w:tc>
      </w:tr>
    </w:tbl>
    <w:p>
      <w:pPr>
        <w:spacing w:line="360" w:lineRule="auto"/>
        <w:ind w:firstLine="480" w:firstLineChars="200"/>
        <w:rPr>
          <w:rFonts w:hint="default" w:ascii="Times New Roman" w:hAnsi="Times New Roman" w:eastAsia="宋体" w:cs="Times New Roman"/>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
        <w:rPr>
          <w:rFonts w:hint="eastAsia" w:ascii="Times New Roman" w:hAnsi="Times New Roman" w:eastAsia="宋体" w:cs="Times New Roman"/>
          <w:color w:val="auto"/>
          <w:highlight w:val="none"/>
          <w:lang w:val="en-US" w:eastAsia="zh-CN"/>
        </w:rPr>
      </w:pPr>
      <w:bookmarkStart w:id="55" w:name="_Toc9523"/>
      <w:r>
        <w:rPr>
          <w:rFonts w:hint="default" w:ascii="Times New Roman" w:hAnsi="Times New Roman" w:eastAsia="宋体" w:cs="Times New Roman"/>
          <w:color w:val="auto"/>
          <w:highlight w:val="none"/>
        </w:rPr>
        <w:t>表五</w:t>
      </w:r>
      <w:r>
        <w:rPr>
          <w:rFonts w:hint="eastAsia"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rPr>
        <w:t>验收监测质量保证及质量控制</w:t>
      </w:r>
      <w:bookmarkEnd w:id="55"/>
    </w:p>
    <w:tbl>
      <w:tblPr>
        <w:tblStyle w:val="24"/>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268" w:hRule="atLeast"/>
          <w:jc w:val="center"/>
        </w:trPr>
        <w:tc>
          <w:tcPr>
            <w:tcW w:w="9257" w:type="dxa"/>
            <w:vAlign w:val="top"/>
          </w:tcPr>
          <w:p>
            <w:pPr>
              <w:keepNext w:val="0"/>
              <w:keepLines w:val="0"/>
              <w:pageBreakBefore w:val="0"/>
              <w:widowControl w:val="0"/>
              <w:kinsoku/>
              <w:wordWrap/>
              <w:overflowPunct/>
              <w:topLinePunct w:val="0"/>
              <w:autoSpaceDE/>
              <w:autoSpaceDN/>
              <w:bidi w:val="0"/>
              <w:adjustRightInd w:val="0"/>
              <w:snapToGrid w:val="0"/>
              <w:spacing w:after="0" w:afterLines="-2147483648"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为了确保监测数据的代表性、完整性、可比性、准确性和精密性，对监测的全过程（包括布点、采样、样品贮运、实验室分析、数据处理等）进行了质量控制。</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5.1严格按照验收监测方案的要求开展监测工作。</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5.2合理布设监测点，保证各监测点位布设的科学性和代表性。</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5.3采样人员严格遵照采样技术规范进行采样工作，认真填写采样记录，按规定保存、运输样品。</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5.4及时了解工况情况，确保监测过程中工况负荷满足验收要求。</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5.5监测分析采用国家有关部门颁布的标准分析方法或推荐方法；监测人员经过考核合格并持有上岗证；所有监测仪器、量具均经过计量部门检定合格并在有效期内使用。</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5.6水样测定过程中按规定进行平行样、加标样和质控样测定；气样测定前校准仪器；噪声测定前后校准仪器。以此对分析、测定结果进行质量控制。</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5.7监测报告严格实行三级审核制度。</w:t>
            </w:r>
          </w:p>
          <w:p>
            <w:pPr>
              <w:spacing w:line="360" w:lineRule="auto"/>
              <w:rPr>
                <w:rFonts w:hint="default" w:ascii="Times New Roman" w:hAnsi="Times New Roman" w:eastAsia="宋体" w:cs="Times New Roman"/>
                <w:b w:val="0"/>
                <w:bCs w:val="0"/>
                <w:color w:val="auto"/>
                <w:sz w:val="24"/>
                <w:szCs w:val="24"/>
                <w:highlight w:val="none"/>
                <w:lang w:val="en-US" w:eastAsia="zh-CN"/>
              </w:rPr>
            </w:pPr>
          </w:p>
          <w:p>
            <w:pPr>
              <w:spacing w:before="62" w:beforeLines="20" w:line="360" w:lineRule="auto"/>
              <w:rPr>
                <w:rFonts w:hint="default" w:ascii="Times New Roman" w:hAnsi="Times New Roman" w:eastAsia="宋体" w:cs="Times New Roman"/>
                <w:color w:val="auto"/>
                <w:sz w:val="24"/>
                <w:szCs w:val="24"/>
                <w:highlight w:val="none"/>
                <w:lang w:val="en-US" w:eastAsia="zh-CN"/>
              </w:rPr>
            </w:pPr>
          </w:p>
          <w:p>
            <w:pPr>
              <w:spacing w:before="62" w:beforeLines="20" w:line="360" w:lineRule="auto"/>
              <w:rPr>
                <w:rFonts w:hint="default" w:ascii="Times New Roman" w:hAnsi="Times New Roman" w:eastAsia="宋体" w:cs="Times New Roman"/>
                <w:color w:val="auto"/>
                <w:sz w:val="24"/>
                <w:szCs w:val="24"/>
                <w:highlight w:val="none"/>
                <w:lang w:val="en-US" w:eastAsia="zh-CN"/>
              </w:rPr>
            </w:pPr>
          </w:p>
          <w:p>
            <w:pPr>
              <w:spacing w:before="62" w:beforeLines="20" w:line="360" w:lineRule="auto"/>
              <w:rPr>
                <w:rFonts w:hint="default" w:ascii="Times New Roman" w:hAnsi="Times New Roman" w:eastAsia="宋体" w:cs="Times New Roman"/>
                <w:color w:val="auto"/>
                <w:sz w:val="24"/>
                <w:szCs w:val="24"/>
                <w:highlight w:val="none"/>
                <w:lang w:val="en-US" w:eastAsia="zh-CN"/>
              </w:rPr>
            </w:pPr>
          </w:p>
          <w:p>
            <w:pPr>
              <w:spacing w:before="62" w:beforeLines="20" w:line="360" w:lineRule="auto"/>
              <w:rPr>
                <w:rFonts w:hint="default" w:ascii="Times New Roman" w:hAnsi="Times New Roman" w:eastAsia="宋体" w:cs="Times New Roman"/>
                <w:color w:val="auto"/>
                <w:sz w:val="24"/>
                <w:szCs w:val="24"/>
                <w:highlight w:val="none"/>
                <w:lang w:val="en-US" w:eastAsia="zh-CN"/>
              </w:rPr>
            </w:pPr>
          </w:p>
          <w:p>
            <w:pPr>
              <w:spacing w:before="62" w:beforeLines="20" w:line="360" w:lineRule="auto"/>
              <w:rPr>
                <w:rFonts w:hint="default" w:ascii="Times New Roman" w:hAnsi="Times New Roman" w:eastAsia="宋体" w:cs="Times New Roman"/>
                <w:color w:val="auto"/>
                <w:sz w:val="24"/>
                <w:szCs w:val="24"/>
                <w:highlight w:val="none"/>
                <w:lang w:val="en-US" w:eastAsia="zh-CN"/>
              </w:rPr>
            </w:pPr>
          </w:p>
          <w:p>
            <w:pPr>
              <w:spacing w:before="62" w:beforeLines="20" w:line="360" w:lineRule="auto"/>
              <w:rPr>
                <w:rFonts w:hint="default" w:ascii="Times New Roman" w:hAnsi="Times New Roman" w:eastAsia="宋体" w:cs="Times New Roman"/>
                <w:color w:val="auto"/>
                <w:sz w:val="24"/>
                <w:szCs w:val="24"/>
                <w:highlight w:val="none"/>
                <w:lang w:val="en-US" w:eastAsia="zh-CN"/>
              </w:rPr>
            </w:pPr>
          </w:p>
        </w:tc>
      </w:tr>
    </w:tbl>
    <w:p>
      <w:pPr>
        <w:pStyle w:val="3"/>
        <w:rPr>
          <w:rFonts w:hint="eastAsia" w:ascii="Times New Roman" w:hAnsi="Times New Roman" w:eastAsia="宋体" w:cs="Times New Roman"/>
          <w:color w:val="auto"/>
          <w:highlight w:val="none"/>
          <w:lang w:val="en-US" w:eastAsia="zh-CN"/>
        </w:rPr>
      </w:pPr>
      <w:bookmarkStart w:id="56" w:name="_Toc18835"/>
      <w:r>
        <w:rPr>
          <w:rFonts w:hint="default" w:ascii="Times New Roman" w:hAnsi="Times New Roman" w:eastAsia="宋体" w:cs="Times New Roman"/>
          <w:color w:val="auto"/>
          <w:highlight w:val="none"/>
        </w:rPr>
        <w:t>表六</w:t>
      </w:r>
      <w:r>
        <w:rPr>
          <w:rFonts w:hint="eastAsia"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lang w:val="en-US" w:eastAsia="zh-CN"/>
        </w:rPr>
        <w:t>验收</w:t>
      </w:r>
      <w:r>
        <w:rPr>
          <w:rFonts w:hint="eastAsia" w:ascii="Times New Roman" w:hAnsi="Times New Roman" w:eastAsia="宋体" w:cs="Times New Roman"/>
          <w:color w:val="auto"/>
          <w:highlight w:val="none"/>
          <w:lang w:val="en-US" w:eastAsia="zh-CN"/>
        </w:rPr>
        <w:t>监测内容</w:t>
      </w:r>
      <w:bookmarkEnd w:id="56"/>
    </w:p>
    <w:tbl>
      <w:tblPr>
        <w:tblStyle w:val="25"/>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项目委托四川瑞兴环保检测有限公司对项目废气、噪声排放情况进行了现场监测，并出具了《成都工业学院宜宾产教融合实训基地建设项目检测报告》（</w:t>
            </w:r>
            <w:r>
              <w:rPr>
                <w:rFonts w:hint="default" w:ascii="Times New Roman" w:hAnsi="Times New Roman" w:eastAsia="宋体" w:cs="Times New Roman"/>
                <w:color w:val="auto"/>
                <w:kern w:val="2"/>
                <w:sz w:val="24"/>
                <w:szCs w:val="24"/>
                <w:highlight w:val="none"/>
                <w:lang w:val="en-US" w:eastAsia="zh-CN"/>
              </w:rPr>
              <w:t>瑞兴环（检）字[20</w:t>
            </w:r>
            <w:r>
              <w:rPr>
                <w:rFonts w:hint="eastAsia" w:ascii="Times New Roman" w:hAnsi="Times New Roman" w:eastAsia="宋体" w:cs="Times New Roman"/>
                <w:color w:val="auto"/>
                <w:kern w:val="2"/>
                <w:sz w:val="24"/>
                <w:szCs w:val="24"/>
                <w:highlight w:val="none"/>
                <w:lang w:val="en-US" w:eastAsia="zh-CN"/>
              </w:rPr>
              <w:t>21</w:t>
            </w:r>
            <w:r>
              <w:rPr>
                <w:rFonts w:hint="default" w:ascii="Times New Roman" w:hAnsi="Times New Roman" w:eastAsia="宋体" w:cs="Times New Roman"/>
                <w:color w:val="auto"/>
                <w:kern w:val="2"/>
                <w:sz w:val="24"/>
                <w:szCs w:val="24"/>
                <w:highlight w:val="none"/>
                <w:lang w:val="en-US" w:eastAsia="zh-CN"/>
              </w:rPr>
              <w:t>]第</w:t>
            </w:r>
            <w:r>
              <w:rPr>
                <w:rFonts w:hint="eastAsia" w:ascii="Times New Roman" w:hAnsi="Times New Roman" w:eastAsia="宋体" w:cs="Times New Roman"/>
                <w:color w:val="auto"/>
                <w:kern w:val="2"/>
                <w:sz w:val="24"/>
                <w:szCs w:val="24"/>
                <w:highlight w:val="none"/>
                <w:lang w:val="en-US" w:eastAsia="zh-CN"/>
              </w:rPr>
              <w:t>2260</w:t>
            </w:r>
            <w:r>
              <w:rPr>
                <w:rFonts w:hint="default" w:ascii="Times New Roman" w:hAnsi="Times New Roman" w:eastAsia="宋体" w:cs="Times New Roman"/>
                <w:color w:val="auto"/>
                <w:kern w:val="2"/>
                <w:sz w:val="24"/>
                <w:szCs w:val="24"/>
                <w:highlight w:val="none"/>
                <w:lang w:val="en-US" w:eastAsia="zh-CN"/>
              </w:rPr>
              <w:t>号</w:t>
            </w:r>
            <w:r>
              <w:rPr>
                <w:rFonts w:hint="eastAsia" w:ascii="Times New Roman" w:hAnsi="Times New Roman" w:eastAsia="宋体" w:cs="Times New Roman"/>
                <w:color w:val="auto"/>
                <w:kern w:val="2"/>
                <w:sz w:val="24"/>
                <w:szCs w:val="24"/>
                <w:highlight w:val="none"/>
                <w:lang w:val="en-US" w:eastAsia="zh-CN"/>
              </w:rPr>
              <w:t>），具体内容如下：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6.1 噪声监测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（1）监测点位：布设</w:t>
            </w:r>
            <w:r>
              <w:rPr>
                <w:rFonts w:hint="eastAsia" w:ascii="Times New Roman" w:hAnsi="Times New Roman" w:eastAsia="宋体" w:cs="Times New Roman"/>
                <w:color w:val="auto"/>
                <w:kern w:val="2"/>
                <w:sz w:val="24"/>
                <w:szCs w:val="24"/>
                <w:highlight w:val="none"/>
                <w:lang w:val="en-US" w:eastAsia="zh-CN"/>
              </w:rPr>
              <w:t>4</w:t>
            </w:r>
            <w:r>
              <w:rPr>
                <w:rFonts w:hint="default" w:ascii="Times New Roman" w:hAnsi="Times New Roman" w:eastAsia="宋体" w:cs="Times New Roman"/>
                <w:color w:val="auto"/>
                <w:kern w:val="2"/>
                <w:sz w:val="24"/>
                <w:szCs w:val="24"/>
                <w:highlight w:val="none"/>
                <w:lang w:val="en-US" w:eastAsia="zh-CN"/>
              </w:rPr>
              <w:t>个噪声点。噪声监测点位见表6-1。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（2）监测项目：厂界噪声</w:t>
            </w:r>
            <w:r>
              <w:rPr>
                <w:rFonts w:hint="eastAsia" w:ascii="Times New Roman" w:hAnsi="Times New Roman" w:eastAsia="宋体" w:cs="Times New Roman"/>
                <w:color w:val="auto"/>
                <w:kern w:val="2"/>
                <w:sz w:val="24"/>
                <w:szCs w:val="24"/>
                <w:highlight w:val="none"/>
                <w:lang w:val="en-US" w:eastAsia="zh-CN"/>
              </w:rPr>
              <w:t>、环境噪声</w:t>
            </w:r>
            <w:r>
              <w:rPr>
                <w:rFonts w:hint="default" w:ascii="Times New Roman" w:hAnsi="Times New Roman" w:eastAsia="宋体" w:cs="Times New Roman"/>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（3）监测频次：连续监测2天，每天昼间监测1次。</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（4）噪声监测方法及方法来源、使用仪器见表6-</w:t>
            </w:r>
            <w:r>
              <w:rPr>
                <w:rFonts w:hint="eastAsia" w:ascii="Times New Roman" w:hAnsi="Times New Roman" w:eastAsia="宋体" w:cs="Times New Roman"/>
                <w:color w:val="auto"/>
                <w:kern w:val="2"/>
                <w:sz w:val="24"/>
                <w:szCs w:val="24"/>
                <w:highlight w:val="none"/>
                <w:lang w:val="en-US" w:eastAsia="zh-CN"/>
              </w:rPr>
              <w:t>2</w:t>
            </w:r>
            <w:r>
              <w:rPr>
                <w:rFonts w:hint="default" w:ascii="Times New Roman" w:hAnsi="Times New Roman" w:eastAsia="宋体" w:cs="Times New Roman"/>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表6-1 噪声监测点位表</w:t>
            </w:r>
          </w:p>
          <w:tbl>
            <w:tblPr>
              <w:tblStyle w:val="25"/>
              <w:tblW w:w="88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3171"/>
              <w:gridCol w:w="2218"/>
              <w:gridCol w:w="21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color w:val="auto"/>
                      <w:sz w:val="21"/>
                      <w:szCs w:val="21"/>
                      <w:highlight w:val="none"/>
                      <w:vertAlign w:val="baseline"/>
                      <w:lang w:val="en-US" w:eastAsia="zh-CN"/>
                    </w:rPr>
                  </w:pPr>
                  <w:r>
                    <w:rPr>
                      <w:rFonts w:hint="default" w:ascii="Times New Roman" w:hAnsi="Times New Roman" w:cs="Times New Roman" w:eastAsiaTheme="minorEastAsia"/>
                      <w:b/>
                      <w:color w:val="auto"/>
                      <w:sz w:val="21"/>
                      <w:szCs w:val="21"/>
                      <w:highlight w:val="none"/>
                      <w:vertAlign w:val="baseline"/>
                      <w:lang w:val="en-US" w:eastAsia="zh-CN"/>
                    </w:rPr>
                    <w:t>检测类别</w:t>
                  </w:r>
                </w:p>
              </w:tc>
              <w:tc>
                <w:tcPr>
                  <w:tcW w:w="31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color w:val="auto"/>
                      <w:sz w:val="21"/>
                      <w:szCs w:val="21"/>
                      <w:highlight w:val="none"/>
                      <w:vertAlign w:val="baseline"/>
                      <w:lang w:val="en-US" w:eastAsia="zh-CN"/>
                    </w:rPr>
                  </w:pPr>
                  <w:r>
                    <w:rPr>
                      <w:rFonts w:hint="default" w:ascii="Times New Roman" w:hAnsi="Times New Roman" w:cs="Times New Roman" w:eastAsiaTheme="minorEastAsia"/>
                      <w:b/>
                      <w:color w:val="auto"/>
                      <w:sz w:val="21"/>
                      <w:szCs w:val="21"/>
                      <w:highlight w:val="none"/>
                      <w:vertAlign w:val="baseline"/>
                      <w:lang w:val="en-US" w:eastAsia="zh-CN"/>
                    </w:rPr>
                    <w:t>检测点位</w:t>
                  </w:r>
                </w:p>
              </w:tc>
              <w:tc>
                <w:tcPr>
                  <w:tcW w:w="2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color w:val="auto"/>
                      <w:sz w:val="21"/>
                      <w:szCs w:val="21"/>
                      <w:highlight w:val="none"/>
                      <w:vertAlign w:val="baseline"/>
                      <w:lang w:val="en-US" w:eastAsia="zh-CN"/>
                    </w:rPr>
                  </w:pPr>
                  <w:r>
                    <w:rPr>
                      <w:rFonts w:hint="default" w:ascii="Times New Roman" w:hAnsi="Times New Roman" w:cs="Times New Roman" w:eastAsiaTheme="minorEastAsia"/>
                      <w:b/>
                      <w:color w:val="auto"/>
                      <w:sz w:val="21"/>
                      <w:szCs w:val="21"/>
                      <w:highlight w:val="none"/>
                      <w:vertAlign w:val="baseline"/>
                      <w:lang w:val="en-US" w:eastAsia="zh-CN"/>
                    </w:rPr>
                    <w:t>检测项目</w:t>
                  </w:r>
                </w:p>
              </w:tc>
              <w:tc>
                <w:tcPr>
                  <w:tcW w:w="2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color w:val="auto"/>
                      <w:sz w:val="21"/>
                      <w:szCs w:val="21"/>
                      <w:highlight w:val="none"/>
                      <w:vertAlign w:val="baseline"/>
                      <w:lang w:val="en-US" w:eastAsia="zh-CN"/>
                    </w:rPr>
                  </w:pPr>
                  <w:r>
                    <w:rPr>
                      <w:rFonts w:hint="default" w:ascii="Times New Roman" w:hAnsi="Times New Roman" w:cs="Times New Roman" w:eastAsiaTheme="minorEastAsia"/>
                      <w:b/>
                      <w:color w:val="auto"/>
                      <w:sz w:val="21"/>
                      <w:szCs w:val="21"/>
                      <w:highlight w:val="none"/>
                      <w:vertAlign w:val="baseline"/>
                      <w:lang w:val="en-US" w:eastAsia="zh-CN"/>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vertAlign w:val="baseline"/>
                      <w:lang w:val="en-US" w:eastAsia="zh-CN"/>
                    </w:rPr>
                  </w:pPr>
                  <w:r>
                    <w:rPr>
                      <w:rFonts w:hint="default" w:ascii="Times New Roman" w:hAnsi="Times New Roman" w:cs="Times New Roman" w:eastAsiaTheme="minorEastAsia"/>
                      <w:b w:val="0"/>
                      <w:bCs/>
                      <w:color w:val="auto"/>
                      <w:sz w:val="21"/>
                      <w:szCs w:val="21"/>
                      <w:highlight w:val="none"/>
                      <w:vertAlign w:val="baseline"/>
                      <w:lang w:val="en-US" w:eastAsia="zh-CN"/>
                    </w:rPr>
                    <w:t>噪声</w:t>
                  </w:r>
                </w:p>
              </w:tc>
              <w:tc>
                <w:tcPr>
                  <w:tcW w:w="31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default" w:ascii="Times New Roman" w:hAnsi="Times New Roman" w:cs="Times New Roman" w:eastAsiaTheme="minorEastAsia"/>
                      <w:b w:val="0"/>
                      <w:bCs/>
                      <w:color w:val="auto"/>
                      <w:sz w:val="21"/>
                      <w:szCs w:val="21"/>
                      <w:highlight w:val="none"/>
                      <w:lang w:val="en-US" w:eastAsia="zh-CN"/>
                    </w:rPr>
                    <w:t>1#：项目</w:t>
                  </w:r>
                  <w:r>
                    <w:rPr>
                      <w:rFonts w:hint="eastAsia" w:ascii="Times New Roman" w:hAnsi="Times New Roman" w:cs="Times New Roman" w:eastAsiaTheme="minorEastAsia"/>
                      <w:b w:val="0"/>
                      <w:bCs/>
                      <w:color w:val="auto"/>
                      <w:sz w:val="21"/>
                      <w:szCs w:val="21"/>
                      <w:highlight w:val="none"/>
                      <w:lang w:val="en-US" w:eastAsia="zh-CN"/>
                    </w:rPr>
                    <w:t>东</w:t>
                  </w:r>
                  <w:r>
                    <w:rPr>
                      <w:rFonts w:hint="default" w:ascii="Times New Roman" w:hAnsi="Times New Roman" w:cs="Times New Roman" w:eastAsiaTheme="minorEastAsia"/>
                      <w:b w:val="0"/>
                      <w:bCs/>
                      <w:color w:val="auto"/>
                      <w:sz w:val="21"/>
                      <w:szCs w:val="21"/>
                      <w:highlight w:val="none"/>
                      <w:lang w:val="en-US" w:eastAsia="zh-CN"/>
                    </w:rPr>
                    <w:t>厂界外1m</w:t>
                  </w:r>
                </w:p>
              </w:tc>
              <w:tc>
                <w:tcPr>
                  <w:tcW w:w="221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default" w:ascii="Times New Roman" w:hAnsi="Times New Roman" w:cs="Times New Roman" w:eastAsiaTheme="minorEastAsia"/>
                      <w:bCs w:val="0"/>
                      <w:color w:val="auto"/>
                      <w:kern w:val="0"/>
                      <w:sz w:val="21"/>
                      <w:szCs w:val="21"/>
                      <w:highlight w:val="none"/>
                      <w:lang w:eastAsia="zh-CN"/>
                    </w:rPr>
                    <w:t>工业企业厂界噪声</w:t>
                  </w:r>
                </w:p>
              </w:tc>
              <w:tc>
                <w:tcPr>
                  <w:tcW w:w="217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rPr>
                  </w:pPr>
                  <w:r>
                    <w:rPr>
                      <w:rFonts w:hint="default" w:ascii="Times New Roman" w:hAnsi="Times New Roman" w:cs="Times New Roman" w:eastAsiaTheme="minorEastAsia"/>
                      <w:b w:val="0"/>
                      <w:bCs/>
                      <w:color w:val="auto"/>
                      <w:sz w:val="21"/>
                      <w:szCs w:val="21"/>
                      <w:highlight w:val="none"/>
                    </w:rPr>
                    <w:t>连续</w:t>
                  </w:r>
                  <w:r>
                    <w:rPr>
                      <w:rFonts w:hint="default" w:ascii="Times New Roman" w:hAnsi="Times New Roman" w:cs="Times New Roman" w:eastAsiaTheme="minorEastAsia"/>
                      <w:b w:val="0"/>
                      <w:bCs/>
                      <w:color w:val="auto"/>
                      <w:sz w:val="21"/>
                      <w:szCs w:val="21"/>
                      <w:highlight w:val="none"/>
                      <w:lang w:eastAsia="zh-CN"/>
                    </w:rPr>
                    <w:t>检测</w:t>
                  </w:r>
                  <w:r>
                    <w:rPr>
                      <w:rFonts w:hint="default" w:ascii="Times New Roman" w:hAnsi="Times New Roman" w:cs="Times New Roman" w:eastAsiaTheme="minorEastAsia"/>
                      <w:b w:val="0"/>
                      <w:bCs/>
                      <w:color w:val="auto"/>
                      <w:sz w:val="21"/>
                      <w:szCs w:val="21"/>
                      <w:highlight w:val="none"/>
                      <w:lang w:val="en-US" w:eastAsia="zh-CN"/>
                    </w:rPr>
                    <w:t>2</w:t>
                  </w:r>
                  <w:r>
                    <w:rPr>
                      <w:rFonts w:hint="default" w:ascii="Times New Roman" w:hAnsi="Times New Roman" w:cs="Times New Roman" w:eastAsiaTheme="minorEastAsia"/>
                      <w:b w:val="0"/>
                      <w:bCs/>
                      <w:color w:val="auto"/>
                      <w:sz w:val="21"/>
                      <w:szCs w:val="21"/>
                      <w:highlight w:val="none"/>
                    </w:rPr>
                    <w:t>天，</w:t>
                  </w:r>
                </w:p>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eastAsia" w:ascii="Times New Roman" w:hAnsi="Times New Roman" w:cs="Times New Roman" w:eastAsiaTheme="minorEastAsia"/>
                      <w:b w:val="0"/>
                      <w:bCs/>
                      <w:color w:val="auto"/>
                      <w:sz w:val="21"/>
                      <w:szCs w:val="21"/>
                      <w:highlight w:val="none"/>
                      <w:lang w:val="en-US" w:eastAsia="zh-CN"/>
                    </w:rPr>
                  </w:pPr>
                  <w:r>
                    <w:rPr>
                      <w:rFonts w:hint="default" w:ascii="Times New Roman" w:hAnsi="Times New Roman" w:cs="Times New Roman" w:eastAsiaTheme="minorEastAsia"/>
                      <w:b w:val="0"/>
                      <w:bCs/>
                      <w:color w:val="auto"/>
                      <w:sz w:val="21"/>
                      <w:szCs w:val="21"/>
                      <w:highlight w:val="none"/>
                    </w:rPr>
                    <w:t>昼间</w:t>
                  </w:r>
                  <w:r>
                    <w:rPr>
                      <w:rFonts w:hint="eastAsia" w:ascii="Times New Roman" w:hAnsi="Times New Roman" w:cs="Times New Roman" w:eastAsiaTheme="minorEastAsia"/>
                      <w:b w:val="0"/>
                      <w:bCs/>
                      <w:color w:val="auto"/>
                      <w:sz w:val="21"/>
                      <w:szCs w:val="21"/>
                      <w:highlight w:val="none"/>
                      <w:lang w:eastAsia="zh-CN"/>
                    </w:rPr>
                    <w:t>检测</w:t>
                  </w:r>
                  <w:r>
                    <w:rPr>
                      <w:rFonts w:hint="default" w:ascii="Times New Roman" w:hAnsi="Times New Roman" w:cs="Times New Roman" w:eastAsiaTheme="minorEastAsia"/>
                      <w:b w:val="0"/>
                      <w:bCs/>
                      <w:color w:val="auto"/>
                      <w:sz w:val="21"/>
                      <w:szCs w:val="21"/>
                      <w:highlight w:val="none"/>
                      <w:lang w:val="en-US" w:eastAsia="zh-CN"/>
                    </w:rPr>
                    <w:t>1</w:t>
                  </w:r>
                  <w:r>
                    <w:rPr>
                      <w:rFonts w:hint="default" w:ascii="Times New Roman" w:hAnsi="Times New Roman" w:cs="Times New Roman" w:eastAsiaTheme="minorEastAsia"/>
                      <w:b w:val="0"/>
                      <w:bCs/>
                      <w:color w:val="auto"/>
                      <w:sz w:val="21"/>
                      <w:szCs w:val="21"/>
                      <w:highlight w:val="none"/>
                    </w:rPr>
                    <w:t>次</w:t>
                  </w:r>
                  <w:r>
                    <w:rPr>
                      <w:rFonts w:hint="eastAsia" w:ascii="Times New Roman" w:hAnsi="Times New Roman" w:cs="Times New Roman" w:eastAsiaTheme="minorEastAsia"/>
                      <w:b w:val="0"/>
                      <w:bCs/>
                      <w:color w:val="auto"/>
                      <w:sz w:val="21"/>
                      <w:szCs w:val="21"/>
                      <w:highlight w:val="none"/>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vertAlign w:val="baseline"/>
                      <w:lang w:val="en-US" w:eastAsia="zh-CN"/>
                    </w:rPr>
                  </w:pPr>
                </w:p>
              </w:tc>
              <w:tc>
                <w:tcPr>
                  <w:tcW w:w="31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default" w:ascii="Times New Roman" w:hAnsi="Times New Roman" w:cs="Times New Roman" w:eastAsiaTheme="minorEastAsia"/>
                      <w:b w:val="0"/>
                      <w:bCs/>
                      <w:color w:val="auto"/>
                      <w:sz w:val="21"/>
                      <w:szCs w:val="21"/>
                      <w:highlight w:val="none"/>
                      <w:lang w:val="en-US" w:eastAsia="zh-CN"/>
                    </w:rPr>
                    <w:t>2#：项目</w:t>
                  </w:r>
                  <w:r>
                    <w:rPr>
                      <w:rFonts w:hint="eastAsia" w:ascii="Times New Roman" w:hAnsi="Times New Roman" w:cs="Times New Roman" w:eastAsiaTheme="minorEastAsia"/>
                      <w:b w:val="0"/>
                      <w:bCs/>
                      <w:color w:val="auto"/>
                      <w:sz w:val="21"/>
                      <w:szCs w:val="21"/>
                      <w:highlight w:val="none"/>
                      <w:lang w:val="en-US" w:eastAsia="zh-CN"/>
                    </w:rPr>
                    <w:t>南</w:t>
                  </w:r>
                  <w:r>
                    <w:rPr>
                      <w:rFonts w:hint="default" w:ascii="Times New Roman" w:hAnsi="Times New Roman" w:cs="Times New Roman" w:eastAsiaTheme="minorEastAsia"/>
                      <w:b w:val="0"/>
                      <w:bCs/>
                      <w:color w:val="auto"/>
                      <w:sz w:val="21"/>
                      <w:szCs w:val="21"/>
                      <w:highlight w:val="none"/>
                      <w:lang w:val="en-US" w:eastAsia="zh-CN"/>
                    </w:rPr>
                    <w:t>厂界外1m</w:t>
                  </w:r>
                </w:p>
              </w:tc>
              <w:tc>
                <w:tcPr>
                  <w:tcW w:w="221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p>
              </w:tc>
              <w:tc>
                <w:tcPr>
                  <w:tcW w:w="217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vertAlign w:val="baseline"/>
                      <w:lang w:val="en-US" w:eastAsia="zh-CN"/>
                    </w:rPr>
                  </w:pPr>
                </w:p>
              </w:tc>
              <w:tc>
                <w:tcPr>
                  <w:tcW w:w="31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default" w:ascii="Times New Roman" w:hAnsi="Times New Roman" w:cs="Times New Roman" w:eastAsiaTheme="minorEastAsia"/>
                      <w:b w:val="0"/>
                      <w:bCs/>
                      <w:color w:val="auto"/>
                      <w:sz w:val="21"/>
                      <w:szCs w:val="21"/>
                      <w:highlight w:val="none"/>
                      <w:lang w:val="en-US" w:eastAsia="zh-CN"/>
                    </w:rPr>
                    <w:t>3#：项目</w:t>
                  </w:r>
                  <w:r>
                    <w:rPr>
                      <w:rFonts w:hint="eastAsia" w:ascii="Times New Roman" w:hAnsi="Times New Roman" w:cs="Times New Roman" w:eastAsiaTheme="minorEastAsia"/>
                      <w:b w:val="0"/>
                      <w:bCs/>
                      <w:color w:val="auto"/>
                      <w:sz w:val="21"/>
                      <w:szCs w:val="21"/>
                      <w:highlight w:val="none"/>
                      <w:lang w:val="en-US" w:eastAsia="zh-CN"/>
                    </w:rPr>
                    <w:t>西</w:t>
                  </w:r>
                  <w:r>
                    <w:rPr>
                      <w:rFonts w:hint="default" w:ascii="Times New Roman" w:hAnsi="Times New Roman" w:cs="Times New Roman" w:eastAsiaTheme="minorEastAsia"/>
                      <w:b w:val="0"/>
                      <w:bCs/>
                      <w:color w:val="auto"/>
                      <w:sz w:val="21"/>
                      <w:szCs w:val="21"/>
                      <w:highlight w:val="none"/>
                      <w:lang w:val="en-US" w:eastAsia="zh-CN"/>
                    </w:rPr>
                    <w:t>厂界外1m</w:t>
                  </w:r>
                </w:p>
              </w:tc>
              <w:tc>
                <w:tcPr>
                  <w:tcW w:w="221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p>
              </w:tc>
              <w:tc>
                <w:tcPr>
                  <w:tcW w:w="217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26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vertAlign w:val="baseline"/>
                      <w:lang w:val="en-US" w:eastAsia="zh-CN"/>
                    </w:rPr>
                  </w:pPr>
                </w:p>
              </w:tc>
              <w:tc>
                <w:tcPr>
                  <w:tcW w:w="31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default" w:ascii="Times New Roman" w:hAnsi="Times New Roman" w:cs="Times New Roman" w:eastAsiaTheme="minorEastAsia"/>
                      <w:b w:val="0"/>
                      <w:bCs/>
                      <w:color w:val="auto"/>
                      <w:sz w:val="21"/>
                      <w:szCs w:val="21"/>
                      <w:highlight w:val="none"/>
                      <w:lang w:val="en-US" w:eastAsia="zh-CN"/>
                    </w:rPr>
                    <w:t>4#：项目</w:t>
                  </w:r>
                  <w:r>
                    <w:rPr>
                      <w:rFonts w:hint="eastAsia" w:ascii="Times New Roman" w:hAnsi="Times New Roman" w:cs="Times New Roman" w:eastAsiaTheme="minorEastAsia"/>
                      <w:b w:val="0"/>
                      <w:bCs/>
                      <w:color w:val="auto"/>
                      <w:sz w:val="21"/>
                      <w:szCs w:val="21"/>
                      <w:highlight w:val="none"/>
                      <w:lang w:val="en-US" w:eastAsia="zh-CN"/>
                    </w:rPr>
                    <w:t>北</w:t>
                  </w:r>
                  <w:r>
                    <w:rPr>
                      <w:rFonts w:hint="default" w:ascii="Times New Roman" w:hAnsi="Times New Roman" w:cs="Times New Roman" w:eastAsiaTheme="minorEastAsia"/>
                      <w:b w:val="0"/>
                      <w:bCs/>
                      <w:color w:val="auto"/>
                      <w:sz w:val="21"/>
                      <w:szCs w:val="21"/>
                      <w:highlight w:val="none"/>
                      <w:lang w:val="en-US" w:eastAsia="zh-CN"/>
                    </w:rPr>
                    <w:t>厂界外1m</w:t>
                  </w:r>
                </w:p>
              </w:tc>
              <w:tc>
                <w:tcPr>
                  <w:tcW w:w="221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p>
              </w:tc>
              <w:tc>
                <w:tcPr>
                  <w:tcW w:w="217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Times New Roman" w:hAnsi="Times New Roman" w:eastAsia="宋体" w:cs="Times New Roman"/>
                <w:b/>
                <w:bCs/>
                <w:color w:val="auto"/>
                <w:kern w:val="2"/>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表6-2 噪声监测方法及方法来源、使用仪器</w:t>
            </w:r>
          </w:p>
          <w:tbl>
            <w:tblPr>
              <w:tblStyle w:val="24"/>
              <w:tblW w:w="870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85"/>
              <w:gridCol w:w="2045"/>
              <w:gridCol w:w="2009"/>
              <w:gridCol w:w="35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181" w:hRule="atLeast"/>
                <w:jc w:val="center"/>
              </w:trPr>
              <w:tc>
                <w:tcPr>
                  <w:tcW w:w="10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bCs w:val="0"/>
                      <w:color w:val="auto"/>
                      <w:sz w:val="21"/>
                      <w:szCs w:val="21"/>
                      <w:highlight w:val="none"/>
                    </w:rPr>
                  </w:pPr>
                  <w:r>
                    <w:rPr>
                      <w:rFonts w:hint="default" w:ascii="Times New Roman" w:hAnsi="Times New Roman" w:cs="Times New Roman" w:eastAsiaTheme="minorEastAsia"/>
                      <w:b/>
                      <w:bCs w:val="0"/>
                      <w:color w:val="auto"/>
                      <w:sz w:val="21"/>
                      <w:szCs w:val="21"/>
                      <w:highlight w:val="none"/>
                    </w:rPr>
                    <w:t>项目</w:t>
                  </w:r>
                </w:p>
              </w:tc>
              <w:tc>
                <w:tcPr>
                  <w:tcW w:w="2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bCs w:val="0"/>
                      <w:color w:val="auto"/>
                      <w:sz w:val="21"/>
                      <w:szCs w:val="21"/>
                      <w:highlight w:val="none"/>
                    </w:rPr>
                  </w:pPr>
                  <w:r>
                    <w:rPr>
                      <w:rFonts w:hint="default" w:ascii="Times New Roman" w:hAnsi="Times New Roman" w:cs="Times New Roman" w:eastAsiaTheme="minorEastAsia"/>
                      <w:b/>
                      <w:bCs w:val="0"/>
                      <w:color w:val="auto"/>
                      <w:sz w:val="21"/>
                      <w:szCs w:val="21"/>
                      <w:highlight w:val="none"/>
                      <w:lang w:val="en-US" w:eastAsia="zh-CN"/>
                    </w:rPr>
                    <w:t>检</w:t>
                  </w:r>
                  <w:r>
                    <w:rPr>
                      <w:rFonts w:hint="default" w:ascii="Times New Roman" w:hAnsi="Times New Roman" w:cs="Times New Roman" w:eastAsiaTheme="minorEastAsia"/>
                      <w:b/>
                      <w:bCs w:val="0"/>
                      <w:color w:val="auto"/>
                      <w:sz w:val="21"/>
                      <w:szCs w:val="21"/>
                      <w:highlight w:val="none"/>
                    </w:rPr>
                    <w:t>测方法</w:t>
                  </w:r>
                </w:p>
              </w:tc>
              <w:tc>
                <w:tcPr>
                  <w:tcW w:w="20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bCs w:val="0"/>
                      <w:color w:val="auto"/>
                      <w:sz w:val="21"/>
                      <w:szCs w:val="21"/>
                      <w:highlight w:val="none"/>
                    </w:rPr>
                  </w:pPr>
                  <w:r>
                    <w:rPr>
                      <w:rFonts w:hint="default" w:ascii="Times New Roman" w:hAnsi="Times New Roman" w:cs="Times New Roman" w:eastAsiaTheme="minorEastAsia"/>
                      <w:b/>
                      <w:bCs w:val="0"/>
                      <w:color w:val="auto"/>
                      <w:sz w:val="21"/>
                      <w:szCs w:val="21"/>
                      <w:highlight w:val="none"/>
                    </w:rPr>
                    <w:t>方法来源</w:t>
                  </w:r>
                </w:p>
              </w:tc>
              <w:tc>
                <w:tcPr>
                  <w:tcW w:w="35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bCs w:val="0"/>
                      <w:color w:val="auto"/>
                      <w:sz w:val="21"/>
                      <w:szCs w:val="21"/>
                      <w:highlight w:val="none"/>
                    </w:rPr>
                  </w:pPr>
                  <w:r>
                    <w:rPr>
                      <w:rFonts w:hint="default" w:ascii="Times New Roman" w:hAnsi="Times New Roman" w:cs="Times New Roman" w:eastAsiaTheme="minorEastAsia"/>
                      <w:b/>
                      <w:bCs w:val="0"/>
                      <w:color w:val="auto"/>
                      <w:sz w:val="21"/>
                      <w:szCs w:val="21"/>
                      <w:highlight w:val="none"/>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58" w:hRule="atLeast"/>
                <w:jc w:val="center"/>
              </w:trPr>
              <w:tc>
                <w:tcPr>
                  <w:tcW w:w="10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cs="Times New Roman" w:eastAsiaTheme="minorEastAsia"/>
                      <w:b w:val="0"/>
                      <w:bCs/>
                      <w:color w:val="auto"/>
                      <w:sz w:val="21"/>
                      <w:szCs w:val="21"/>
                      <w:highlight w:val="none"/>
                      <w:lang w:eastAsia="zh-CN"/>
                    </w:rPr>
                    <w:t>工业企业厂界</w:t>
                  </w:r>
                  <w:r>
                    <w:rPr>
                      <w:rFonts w:hint="default" w:ascii="Times New Roman" w:hAnsi="Times New Roman" w:cs="Times New Roman" w:eastAsiaTheme="minorEastAsia"/>
                      <w:b w:val="0"/>
                      <w:bCs/>
                      <w:color w:val="auto"/>
                      <w:sz w:val="21"/>
                      <w:szCs w:val="21"/>
                      <w:highlight w:val="none"/>
                      <w:lang w:eastAsia="zh-CN"/>
                    </w:rPr>
                    <w:t>噪声</w:t>
                  </w:r>
                </w:p>
              </w:tc>
              <w:tc>
                <w:tcPr>
                  <w:tcW w:w="2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default" w:ascii="Times New Roman" w:hAnsi="Times New Roman" w:cs="Times New Roman" w:eastAsiaTheme="minorEastAsia"/>
                      <w:b w:val="0"/>
                      <w:bCs/>
                      <w:color w:val="auto"/>
                      <w:sz w:val="21"/>
                      <w:szCs w:val="21"/>
                      <w:highlight w:val="none"/>
                      <w:lang w:val="en-US" w:eastAsia="zh-CN"/>
                    </w:rPr>
                    <w:t>工业企业厂界环境噪声排放标准</w:t>
                  </w:r>
                </w:p>
              </w:tc>
              <w:tc>
                <w:tcPr>
                  <w:tcW w:w="20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default" w:ascii="Times New Roman" w:hAnsi="Times New Roman" w:cs="Times New Roman" w:eastAsiaTheme="minorEastAsia"/>
                      <w:b w:val="0"/>
                      <w:bCs/>
                      <w:color w:val="auto"/>
                      <w:sz w:val="21"/>
                      <w:szCs w:val="21"/>
                      <w:highlight w:val="none"/>
                      <w:lang w:val="en-US" w:eastAsia="zh-CN"/>
                    </w:rPr>
                    <w:t>GB 12348-2008</w:t>
                  </w:r>
                </w:p>
              </w:tc>
              <w:tc>
                <w:tcPr>
                  <w:tcW w:w="35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default" w:ascii="Times New Roman" w:hAnsi="Times New Roman" w:cs="Times New Roman" w:eastAsiaTheme="minorEastAsia"/>
                      <w:b w:val="0"/>
                      <w:bCs/>
                      <w:color w:val="auto"/>
                      <w:sz w:val="21"/>
                      <w:szCs w:val="21"/>
                      <w:highlight w:val="none"/>
                      <w:lang w:val="en-US" w:eastAsia="zh-CN"/>
                    </w:rPr>
                    <w:t>AWA5688多功能声级计RX-YQ-01</w:t>
                  </w:r>
                  <w:r>
                    <w:rPr>
                      <w:rFonts w:hint="eastAsia" w:ascii="Times New Roman" w:hAnsi="Times New Roman" w:cs="Times New Roman" w:eastAsiaTheme="minorEastAsia"/>
                      <w:b w:val="0"/>
                      <w:bCs/>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cs="Times New Roman" w:eastAsiaTheme="minorEastAsia"/>
                      <w:b w:val="0"/>
                      <w:bCs/>
                      <w:color w:val="auto"/>
                      <w:sz w:val="21"/>
                      <w:szCs w:val="21"/>
                      <w:highlight w:val="none"/>
                      <w:lang w:val="en-US" w:eastAsia="zh-CN"/>
                    </w:rPr>
                  </w:pPr>
                  <w:r>
                    <w:rPr>
                      <w:rFonts w:hint="default" w:ascii="Times New Roman" w:hAnsi="Times New Roman" w:cs="Times New Roman" w:eastAsiaTheme="minorEastAsia"/>
                      <w:b w:val="0"/>
                      <w:bCs/>
                      <w:color w:val="auto"/>
                      <w:sz w:val="21"/>
                      <w:szCs w:val="21"/>
                      <w:highlight w:val="none"/>
                      <w:lang w:val="en-US" w:eastAsia="zh-CN"/>
                    </w:rPr>
                    <w:t>AWA6221B声校准器</w:t>
                  </w:r>
                  <w:r>
                    <w:rPr>
                      <w:rFonts w:hint="eastAsia" w:ascii="Times New Roman" w:hAnsi="Times New Roman" w:cs="Times New Roman" w:eastAsiaTheme="minorEastAsia"/>
                      <w:b w:val="0"/>
                      <w:bCs/>
                      <w:color w:val="auto"/>
                      <w:sz w:val="21"/>
                      <w:szCs w:val="21"/>
                      <w:highlight w:val="none"/>
                      <w:lang w:val="en-US" w:eastAsia="zh-CN"/>
                    </w:rPr>
                    <w:t xml:space="preserve"> </w:t>
                  </w:r>
                  <w:r>
                    <w:rPr>
                      <w:rFonts w:hint="default" w:ascii="Times New Roman" w:hAnsi="Times New Roman" w:cs="Times New Roman" w:eastAsiaTheme="minorEastAsia"/>
                      <w:b w:val="0"/>
                      <w:bCs/>
                      <w:color w:val="auto"/>
                      <w:sz w:val="21"/>
                      <w:szCs w:val="21"/>
                      <w:highlight w:val="none"/>
                      <w:lang w:val="en-US" w:eastAsia="zh-CN"/>
                    </w:rPr>
                    <w:t>RX-YQ-010</w:t>
                  </w: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 xml:space="preserve">6.2 </w:t>
            </w:r>
            <w:r>
              <w:rPr>
                <w:rFonts w:hint="eastAsia" w:ascii="Times New Roman" w:hAnsi="Times New Roman" w:cs="Times New Roman"/>
                <w:b/>
                <w:bCs/>
                <w:color w:val="auto"/>
                <w:sz w:val="24"/>
                <w:szCs w:val="24"/>
                <w:highlight w:val="none"/>
                <w:lang w:val="en-US" w:eastAsia="zh-CN"/>
              </w:rPr>
              <w:t>有</w:t>
            </w:r>
            <w:r>
              <w:rPr>
                <w:rFonts w:hint="default" w:ascii="Times New Roman" w:hAnsi="Times New Roman" w:cs="Times New Roman"/>
                <w:b/>
                <w:bCs/>
                <w:color w:val="auto"/>
                <w:sz w:val="24"/>
                <w:szCs w:val="24"/>
                <w:highlight w:val="none"/>
                <w:lang w:val="en-US" w:eastAsia="zh-CN"/>
              </w:rPr>
              <w:t>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（1）监测点位：</w:t>
            </w:r>
            <w:r>
              <w:rPr>
                <w:rFonts w:hint="eastAsia" w:ascii="Times New Roman" w:hAnsi="Times New Roman" w:eastAsia="宋体" w:cs="Times New Roman"/>
                <w:color w:val="auto"/>
                <w:kern w:val="2"/>
                <w:sz w:val="24"/>
                <w:szCs w:val="24"/>
                <w:highlight w:val="none"/>
                <w:lang w:val="en-US" w:eastAsia="zh-CN"/>
              </w:rPr>
              <w:t>食堂西侧1#、2#、3#、4#排气筒、实验室东侧5#、6#、7#排气筒</w:t>
            </w:r>
            <w:r>
              <w:rPr>
                <w:rFonts w:hint="default" w:ascii="Times New Roman" w:hAnsi="Times New Roman" w:eastAsia="宋体" w:cs="Times New Roman"/>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（2）监测项目：</w:t>
            </w:r>
            <w:r>
              <w:rPr>
                <w:rFonts w:hint="eastAsia" w:ascii="Times New Roman" w:hAnsi="Times New Roman" w:eastAsia="宋体" w:cs="Times New Roman"/>
                <w:color w:val="auto"/>
                <w:sz w:val="24"/>
                <w:highlight w:val="none"/>
                <w:lang w:val="en-US" w:eastAsia="zh-CN"/>
              </w:rPr>
              <w:t>油烟、VOC</w:t>
            </w:r>
            <w:r>
              <w:rPr>
                <w:rFonts w:hint="eastAsia" w:ascii="Times New Roman" w:hAnsi="Times New Roman" w:eastAsia="宋体" w:cs="Times New Roman"/>
                <w:color w:val="auto"/>
                <w:sz w:val="24"/>
                <w:highlight w:val="none"/>
                <w:vertAlign w:val="subscript"/>
                <w:lang w:val="en-US" w:eastAsia="zh-CN"/>
              </w:rPr>
              <w:t>S</w:t>
            </w:r>
            <w:r>
              <w:rPr>
                <w:rFonts w:hint="default" w:ascii="Times New Roman" w:hAnsi="Times New Roman" w:eastAsia="宋体" w:cs="Times New Roman"/>
                <w:color w:val="auto"/>
                <w:kern w:val="2"/>
                <w:sz w:val="24"/>
                <w:szCs w:val="24"/>
                <w:highlight w:val="none"/>
                <w:lang w:val="zh-CN" w:eastAsia="zh-CN"/>
              </w:rPr>
              <w:t>；</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（3）监测频次：连续监测2天，每天监测</w:t>
            </w:r>
            <w:r>
              <w:rPr>
                <w:rFonts w:hint="eastAsia" w:ascii="Times New Roman" w:hAnsi="Times New Roman" w:eastAsia="宋体" w:cs="Times New Roman"/>
                <w:color w:val="auto"/>
                <w:kern w:val="2"/>
                <w:sz w:val="24"/>
                <w:szCs w:val="24"/>
                <w:highlight w:val="none"/>
                <w:lang w:val="en-US" w:eastAsia="zh-CN"/>
              </w:rPr>
              <w:t>3</w:t>
            </w:r>
            <w:r>
              <w:rPr>
                <w:rFonts w:hint="default" w:ascii="Times New Roman" w:hAnsi="Times New Roman" w:eastAsia="宋体" w:cs="Times New Roman"/>
                <w:color w:val="auto"/>
                <w:kern w:val="2"/>
                <w:sz w:val="24"/>
                <w:szCs w:val="24"/>
                <w:highlight w:val="none"/>
                <w:lang w:val="en-US" w:eastAsia="zh-CN"/>
              </w:rPr>
              <w:t>次。</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480" w:firstLineChars="200"/>
              <w:jc w:val="both"/>
              <w:textAlignment w:val="auto"/>
              <w:rPr>
                <w:rFonts w:hint="default" w:ascii="Times New Roman" w:hAnsi="Times New Roman" w:eastAsia="宋体" w:cs="Times New Roman"/>
                <w:b/>
                <w:bCs/>
                <w:color w:val="auto"/>
                <w:sz w:val="18"/>
                <w:szCs w:val="18"/>
                <w:highlight w:val="none"/>
              </w:rPr>
            </w:pPr>
            <w:r>
              <w:rPr>
                <w:rFonts w:hint="default" w:ascii="Times New Roman" w:hAnsi="Times New Roman" w:eastAsia="宋体" w:cs="Times New Roman"/>
                <w:color w:val="auto"/>
                <w:kern w:val="2"/>
                <w:sz w:val="24"/>
                <w:szCs w:val="24"/>
                <w:highlight w:val="none"/>
                <w:lang w:val="en-US" w:eastAsia="zh-CN"/>
              </w:rPr>
              <w:t>（4）</w:t>
            </w:r>
            <w:r>
              <w:rPr>
                <w:rFonts w:hint="eastAsia" w:ascii="Times New Roman" w:hAnsi="Times New Roman" w:eastAsia="宋体" w:cs="Times New Roman"/>
                <w:color w:val="auto"/>
                <w:kern w:val="2"/>
                <w:sz w:val="24"/>
                <w:szCs w:val="24"/>
                <w:highlight w:val="none"/>
                <w:lang w:val="en-US" w:eastAsia="zh-CN"/>
              </w:rPr>
              <w:t>有</w:t>
            </w:r>
            <w:r>
              <w:rPr>
                <w:rFonts w:hint="default" w:ascii="Times New Roman" w:hAnsi="Times New Roman" w:eastAsia="宋体" w:cs="Times New Roman"/>
                <w:color w:val="auto"/>
                <w:kern w:val="2"/>
                <w:sz w:val="24"/>
                <w:szCs w:val="24"/>
                <w:highlight w:val="none"/>
                <w:lang w:val="en-US" w:eastAsia="zh-CN"/>
              </w:rPr>
              <w:t>组织废气监测方法及方法来源、使用仪器见表6-</w:t>
            </w:r>
            <w:r>
              <w:rPr>
                <w:rFonts w:hint="eastAsia" w:ascii="Times New Roman" w:hAnsi="Times New Roman" w:eastAsia="宋体" w:cs="Times New Roman"/>
                <w:color w:val="auto"/>
                <w:kern w:val="2"/>
                <w:sz w:val="24"/>
                <w:szCs w:val="24"/>
                <w:highlight w:val="none"/>
                <w:lang w:val="en-US" w:eastAsia="zh-CN"/>
              </w:rPr>
              <w:t>4</w:t>
            </w:r>
            <w:r>
              <w:rPr>
                <w:rFonts w:hint="default" w:ascii="Times New Roman" w:hAnsi="Times New Roman" w:eastAsia="宋体" w:cs="Times New Roman"/>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 xml:space="preserve">表6-3 </w:t>
            </w:r>
            <w:r>
              <w:rPr>
                <w:rFonts w:hint="eastAsia" w:ascii="Times New Roman" w:hAnsi="Times New Roman" w:eastAsia="宋体" w:cs="Times New Roman"/>
                <w:b/>
                <w:bCs/>
                <w:color w:val="auto"/>
                <w:kern w:val="2"/>
                <w:sz w:val="21"/>
                <w:szCs w:val="21"/>
                <w:highlight w:val="none"/>
                <w:lang w:val="en-US" w:eastAsia="zh-CN"/>
              </w:rPr>
              <w:t>有</w:t>
            </w:r>
            <w:r>
              <w:rPr>
                <w:rFonts w:hint="default" w:ascii="Times New Roman" w:hAnsi="Times New Roman" w:eastAsia="宋体" w:cs="Times New Roman"/>
                <w:b/>
                <w:bCs/>
                <w:color w:val="auto"/>
                <w:kern w:val="2"/>
                <w:sz w:val="21"/>
                <w:szCs w:val="21"/>
                <w:highlight w:val="none"/>
                <w:lang w:val="en-US" w:eastAsia="zh-CN"/>
              </w:rPr>
              <w:t>组织废气监测点位表</w:t>
            </w:r>
          </w:p>
          <w:tbl>
            <w:tblPr>
              <w:tblStyle w:val="24"/>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3190"/>
              <w:gridCol w:w="2044"/>
              <w:gridCol w:w="22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pct"/>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检测类别</w:t>
                  </w:r>
                </w:p>
              </w:tc>
              <w:tc>
                <w:tcPr>
                  <w:tcW w:w="1763" w:type="pct"/>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检测点位</w:t>
                  </w:r>
                </w:p>
              </w:tc>
              <w:tc>
                <w:tcPr>
                  <w:tcW w:w="1130" w:type="pct"/>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检测项目</w:t>
                  </w:r>
                </w:p>
              </w:tc>
              <w:tc>
                <w:tcPr>
                  <w:tcW w:w="1225" w:type="pct"/>
                  <w:vAlign w:val="center"/>
                </w:tcPr>
                <w:p>
                  <w:pPr>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pct"/>
                  <w:vMerge w:val="restar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color w:val="auto"/>
                      <w:sz w:val="21"/>
                      <w:szCs w:val="21"/>
                      <w:highlight w:val="none"/>
                      <w:lang w:val="en-US" w:eastAsia="zh-CN"/>
                    </w:rPr>
                    <w:t>废气</w:t>
                  </w:r>
                </w:p>
              </w:tc>
              <w:tc>
                <w:tcPr>
                  <w:tcW w:w="1763" w:type="pc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lang w:val="en-US"/>
                    </w:rPr>
                  </w:pPr>
                  <w:r>
                    <w:rPr>
                      <w:rFonts w:hint="default" w:ascii="Times New Roman" w:hAnsi="Times New Roman" w:eastAsia="宋体" w:cs="Times New Roman"/>
                      <w:bCs/>
                      <w:sz w:val="21"/>
                      <w:szCs w:val="21"/>
                    </w:rPr>
                    <w:t>1#</w:t>
                  </w:r>
                  <w:r>
                    <w:rPr>
                      <w:rFonts w:hint="default" w:ascii="Times New Roman" w:hAnsi="Times New Roman" w:eastAsia="宋体" w:cs="Times New Roman"/>
                      <w:bCs/>
                      <w:sz w:val="21"/>
                      <w:szCs w:val="21"/>
                      <w:lang w:eastAsia="zh-CN"/>
                    </w:rPr>
                    <w:t>：</w:t>
                  </w:r>
                  <w:r>
                    <w:rPr>
                      <w:rFonts w:hint="default" w:ascii="Times New Roman" w:hAnsi="Times New Roman" w:eastAsia="宋体" w:cs="Times New Roman"/>
                      <w:bCs/>
                      <w:sz w:val="21"/>
                      <w:szCs w:val="21"/>
                      <w:lang w:val="en-US" w:eastAsia="zh-CN"/>
                    </w:rPr>
                    <w:t>食堂</w:t>
                  </w:r>
                  <w:r>
                    <w:rPr>
                      <w:rFonts w:hint="default" w:ascii="Times New Roman" w:hAnsi="Times New Roman" w:eastAsia="宋体" w:cs="Times New Roman"/>
                      <w:color w:val="auto"/>
                      <w:kern w:val="2"/>
                      <w:sz w:val="21"/>
                      <w:szCs w:val="21"/>
                      <w:highlight w:val="none"/>
                      <w:lang w:val="en-US" w:eastAsia="zh-CN"/>
                    </w:rPr>
                    <w:t>西</w:t>
                  </w:r>
                  <w:r>
                    <w:rPr>
                      <w:rFonts w:hint="default" w:ascii="Times New Roman" w:hAnsi="Times New Roman" w:eastAsia="宋体" w:cs="Times New Roman"/>
                      <w:bCs/>
                      <w:sz w:val="21"/>
                      <w:szCs w:val="21"/>
                      <w:lang w:val="en-US" w:eastAsia="zh-CN"/>
                    </w:rPr>
                    <w:t>侧</w:t>
                  </w:r>
                </w:p>
              </w:tc>
              <w:tc>
                <w:tcPr>
                  <w:tcW w:w="1130" w:type="pct"/>
                  <w:vMerge w:val="restar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val="en-US" w:eastAsia="zh-CN"/>
                    </w:rPr>
                    <w:t>油烟</w:t>
                  </w:r>
                </w:p>
              </w:tc>
              <w:tc>
                <w:tcPr>
                  <w:tcW w:w="1225" w:type="pct"/>
                  <w:vMerge w:val="restar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val="en-US" w:eastAsia="zh-CN"/>
                    </w:rPr>
                    <w:t>连续</w:t>
                  </w:r>
                  <w:r>
                    <w:rPr>
                      <w:rFonts w:hint="default" w:ascii="Times New Roman" w:hAnsi="Times New Roman" w:eastAsia="宋体" w:cs="Times New Roman"/>
                      <w:bCs/>
                      <w:sz w:val="21"/>
                      <w:szCs w:val="21"/>
                    </w:rPr>
                    <w:t>检测</w:t>
                  </w:r>
                  <w:r>
                    <w:rPr>
                      <w:rFonts w:hint="default" w:ascii="Times New Roman" w:hAnsi="Times New Roman" w:eastAsia="宋体" w:cs="Times New Roman"/>
                      <w:bCs/>
                      <w:sz w:val="21"/>
                      <w:szCs w:val="21"/>
                      <w:lang w:val="en-US" w:eastAsia="zh-CN"/>
                    </w:rPr>
                    <w:t>2</w:t>
                  </w:r>
                  <w:r>
                    <w:rPr>
                      <w:rFonts w:hint="default" w:ascii="Times New Roman" w:hAnsi="Times New Roman" w:eastAsia="宋体" w:cs="Times New Roman"/>
                      <w:bCs/>
                      <w:sz w:val="21"/>
                      <w:szCs w:val="21"/>
                    </w:rPr>
                    <w:t>天，</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每天3次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c>
                <w:tcPr>
                  <w:tcW w:w="1763" w:type="pc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2#：食堂</w:t>
                  </w:r>
                  <w:r>
                    <w:rPr>
                      <w:rFonts w:hint="default" w:ascii="Times New Roman" w:hAnsi="Times New Roman" w:eastAsia="宋体" w:cs="Times New Roman"/>
                      <w:color w:val="auto"/>
                      <w:kern w:val="2"/>
                      <w:sz w:val="21"/>
                      <w:szCs w:val="21"/>
                      <w:highlight w:val="none"/>
                      <w:lang w:val="en-US" w:eastAsia="zh-CN"/>
                    </w:rPr>
                    <w:t>西</w:t>
                  </w:r>
                  <w:r>
                    <w:rPr>
                      <w:rFonts w:hint="default" w:ascii="Times New Roman" w:hAnsi="Times New Roman" w:eastAsia="宋体" w:cs="Times New Roman"/>
                      <w:bCs/>
                      <w:sz w:val="21"/>
                      <w:szCs w:val="21"/>
                      <w:lang w:val="en-US" w:eastAsia="zh-CN"/>
                    </w:rPr>
                    <w:t>侧</w:t>
                  </w:r>
                </w:p>
              </w:tc>
              <w:tc>
                <w:tcPr>
                  <w:tcW w:w="1130"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c>
                <w:tcPr>
                  <w:tcW w:w="1225"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c>
                <w:tcPr>
                  <w:tcW w:w="1763" w:type="pc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3#：食堂</w:t>
                  </w:r>
                  <w:r>
                    <w:rPr>
                      <w:rFonts w:hint="default" w:ascii="Times New Roman" w:hAnsi="Times New Roman" w:eastAsia="宋体" w:cs="Times New Roman"/>
                      <w:color w:val="auto"/>
                      <w:kern w:val="2"/>
                      <w:sz w:val="21"/>
                      <w:szCs w:val="21"/>
                      <w:highlight w:val="none"/>
                      <w:lang w:val="en-US" w:eastAsia="zh-CN"/>
                    </w:rPr>
                    <w:t>西</w:t>
                  </w:r>
                  <w:r>
                    <w:rPr>
                      <w:rFonts w:hint="default" w:ascii="Times New Roman" w:hAnsi="Times New Roman" w:eastAsia="宋体" w:cs="Times New Roman"/>
                      <w:bCs/>
                      <w:sz w:val="21"/>
                      <w:szCs w:val="21"/>
                      <w:lang w:val="en-US" w:eastAsia="zh-CN"/>
                    </w:rPr>
                    <w:t>侧</w:t>
                  </w:r>
                </w:p>
              </w:tc>
              <w:tc>
                <w:tcPr>
                  <w:tcW w:w="1130"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c>
                <w:tcPr>
                  <w:tcW w:w="1225"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c>
                <w:tcPr>
                  <w:tcW w:w="1763" w:type="pc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4#：食堂</w:t>
                  </w:r>
                  <w:r>
                    <w:rPr>
                      <w:rFonts w:hint="default" w:ascii="Times New Roman" w:hAnsi="Times New Roman" w:eastAsia="宋体" w:cs="Times New Roman"/>
                      <w:color w:val="auto"/>
                      <w:kern w:val="2"/>
                      <w:sz w:val="21"/>
                      <w:szCs w:val="21"/>
                      <w:highlight w:val="none"/>
                      <w:lang w:val="en-US" w:eastAsia="zh-CN"/>
                    </w:rPr>
                    <w:t>西</w:t>
                  </w:r>
                  <w:r>
                    <w:rPr>
                      <w:rFonts w:hint="default" w:ascii="Times New Roman" w:hAnsi="Times New Roman" w:eastAsia="宋体" w:cs="Times New Roman"/>
                      <w:bCs/>
                      <w:sz w:val="21"/>
                      <w:szCs w:val="21"/>
                      <w:lang w:val="en-US" w:eastAsia="zh-CN"/>
                    </w:rPr>
                    <w:t>侧</w:t>
                  </w:r>
                </w:p>
              </w:tc>
              <w:tc>
                <w:tcPr>
                  <w:tcW w:w="1130"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c>
                <w:tcPr>
                  <w:tcW w:w="1225"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c>
                <w:tcPr>
                  <w:tcW w:w="1763" w:type="pc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5#：实验室东侧</w:t>
                  </w:r>
                </w:p>
              </w:tc>
              <w:tc>
                <w:tcPr>
                  <w:tcW w:w="1130" w:type="pct"/>
                  <w:vMerge w:val="restar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color w:val="auto"/>
                      <w:sz w:val="21"/>
                      <w:szCs w:val="21"/>
                      <w:highlight w:val="none"/>
                      <w:lang w:val="en-US" w:eastAsia="zh-CN"/>
                    </w:rPr>
                    <w:t>VOC</w:t>
                  </w:r>
                  <w:r>
                    <w:rPr>
                      <w:rFonts w:hint="default" w:ascii="Times New Roman" w:hAnsi="Times New Roman" w:eastAsia="宋体" w:cs="Times New Roman"/>
                      <w:color w:val="auto"/>
                      <w:sz w:val="21"/>
                      <w:szCs w:val="21"/>
                      <w:highlight w:val="none"/>
                      <w:vertAlign w:val="subscript"/>
                      <w:lang w:val="en-US" w:eastAsia="zh-CN"/>
                    </w:rPr>
                    <w:t>S</w:t>
                  </w:r>
                </w:p>
              </w:tc>
              <w:tc>
                <w:tcPr>
                  <w:tcW w:w="1225" w:type="pct"/>
                  <w:vMerge w:val="restar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val="en-US" w:eastAsia="zh-CN"/>
                    </w:rPr>
                    <w:t>连续</w:t>
                  </w:r>
                  <w:r>
                    <w:rPr>
                      <w:rFonts w:hint="default" w:ascii="Times New Roman" w:hAnsi="Times New Roman" w:eastAsia="宋体" w:cs="Times New Roman"/>
                      <w:bCs/>
                      <w:sz w:val="21"/>
                      <w:szCs w:val="21"/>
                    </w:rPr>
                    <w:t>检测</w:t>
                  </w:r>
                  <w:r>
                    <w:rPr>
                      <w:rFonts w:hint="default" w:ascii="Times New Roman" w:hAnsi="Times New Roman" w:eastAsia="宋体" w:cs="Times New Roman"/>
                      <w:bCs/>
                      <w:sz w:val="21"/>
                      <w:szCs w:val="21"/>
                      <w:lang w:val="en-US" w:eastAsia="zh-CN"/>
                    </w:rPr>
                    <w:t>2</w:t>
                  </w:r>
                  <w:r>
                    <w:rPr>
                      <w:rFonts w:hint="default" w:ascii="Times New Roman" w:hAnsi="Times New Roman" w:eastAsia="宋体" w:cs="Times New Roman"/>
                      <w:bCs/>
                      <w:sz w:val="21"/>
                      <w:szCs w:val="21"/>
                    </w:rPr>
                    <w:t>天，</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每天3次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c>
                <w:tcPr>
                  <w:tcW w:w="1763" w:type="pc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6#：实验室东侧</w:t>
                  </w:r>
                </w:p>
              </w:tc>
              <w:tc>
                <w:tcPr>
                  <w:tcW w:w="1130"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c>
                <w:tcPr>
                  <w:tcW w:w="1225"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c>
                <w:tcPr>
                  <w:tcW w:w="1763" w:type="pc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7#：实验室东侧</w:t>
                  </w:r>
                </w:p>
              </w:tc>
              <w:tc>
                <w:tcPr>
                  <w:tcW w:w="1130"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c>
                <w:tcPr>
                  <w:tcW w:w="1225" w:type="pct"/>
                  <w:vMerge w:val="continue"/>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eastAsia="宋体" w:cs="Times New Roman"/>
                      <w:bCs/>
                      <w:sz w:val="21"/>
                      <w:szCs w:val="21"/>
                    </w:rPr>
                  </w:pPr>
                </w:p>
              </w:tc>
            </w:tr>
          </w:tbl>
          <w:p>
            <w:pPr>
              <w:widowControl w:val="0"/>
              <w:adjustRightInd/>
              <w:snapToGrid w:val="0"/>
              <w:spacing w:after="0" w:afterLines="-2147483648" w:line="360" w:lineRule="auto"/>
              <w:jc w:val="center"/>
              <w:rPr>
                <w:rFonts w:hint="default" w:ascii="Times New Roman" w:hAnsi="Times New Roman" w:eastAsia="宋体" w:cs="Times New Roman"/>
                <w:b/>
                <w:bCs/>
                <w:color w:val="auto"/>
                <w:kern w:val="2"/>
                <w:sz w:val="21"/>
                <w:szCs w:val="21"/>
                <w:highlight w:val="none"/>
                <w:lang w:val="en-US" w:eastAsia="zh-CN"/>
              </w:rPr>
            </w:pPr>
          </w:p>
          <w:p>
            <w:pPr>
              <w:widowControl w:val="0"/>
              <w:adjustRightInd/>
              <w:snapToGrid w:val="0"/>
              <w:spacing w:after="0" w:afterLines="-2147483648" w:line="360" w:lineRule="auto"/>
              <w:jc w:val="center"/>
              <w:rPr>
                <w:rFonts w:hint="default" w:ascii="Times New Roman" w:hAnsi="Times New Roman" w:eastAsia="宋体" w:cs="Times New Roman"/>
                <w:b/>
                <w:bCs/>
                <w:color w:val="auto"/>
                <w:kern w:val="2"/>
                <w:sz w:val="21"/>
                <w:szCs w:val="21"/>
                <w:highlight w:val="none"/>
                <w:lang w:val="en-US" w:eastAsia="zh-CN"/>
              </w:rPr>
            </w:pPr>
          </w:p>
          <w:p>
            <w:pPr>
              <w:widowControl w:val="0"/>
              <w:adjustRightInd/>
              <w:snapToGrid w:val="0"/>
              <w:spacing w:after="0" w:afterLines="-2147483648" w:line="360" w:lineRule="auto"/>
              <w:jc w:val="center"/>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 xml:space="preserve">表6-4 </w:t>
            </w:r>
            <w:r>
              <w:rPr>
                <w:rFonts w:hint="eastAsia" w:ascii="Times New Roman" w:hAnsi="Times New Roman" w:eastAsia="宋体" w:cs="Times New Roman"/>
                <w:b/>
                <w:bCs/>
                <w:color w:val="auto"/>
                <w:kern w:val="2"/>
                <w:sz w:val="21"/>
                <w:szCs w:val="21"/>
                <w:highlight w:val="none"/>
                <w:lang w:val="en-US" w:eastAsia="zh-CN"/>
              </w:rPr>
              <w:t>有</w:t>
            </w:r>
            <w:r>
              <w:rPr>
                <w:rFonts w:hint="default" w:ascii="Times New Roman" w:hAnsi="Times New Roman" w:eastAsia="宋体" w:cs="Times New Roman"/>
                <w:b/>
                <w:bCs/>
                <w:color w:val="auto"/>
                <w:kern w:val="2"/>
                <w:sz w:val="21"/>
                <w:szCs w:val="21"/>
                <w:highlight w:val="none"/>
                <w:lang w:val="en-US" w:eastAsia="zh-CN"/>
              </w:rPr>
              <w:t>组织废气监测方法及方法来源、使用仪器</w:t>
            </w:r>
          </w:p>
          <w:tbl>
            <w:tblPr>
              <w:tblStyle w:val="24"/>
              <w:tblW w:w="898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417"/>
              <w:gridCol w:w="2280"/>
              <w:gridCol w:w="1822"/>
              <w:gridCol w:w="2312"/>
              <w:gridCol w:w="11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项目</w:t>
                  </w:r>
                </w:p>
              </w:tc>
              <w:tc>
                <w:tcPr>
                  <w:tcW w:w="2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eastAsia="zh-CN"/>
                    </w:rPr>
                    <w:t>检</w:t>
                  </w:r>
                  <w:r>
                    <w:rPr>
                      <w:rFonts w:hint="default" w:ascii="Times New Roman" w:hAnsi="Times New Roman" w:eastAsia="宋体" w:cs="Times New Roman"/>
                      <w:b/>
                      <w:bCs/>
                      <w:color w:val="auto"/>
                      <w:sz w:val="21"/>
                      <w:szCs w:val="21"/>
                      <w:highlight w:val="none"/>
                    </w:rPr>
                    <w:t>测方法</w:t>
                  </w:r>
                </w:p>
              </w:tc>
              <w:tc>
                <w:tcPr>
                  <w:tcW w:w="18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方法来源</w:t>
                  </w:r>
                </w:p>
              </w:tc>
              <w:tc>
                <w:tcPr>
                  <w:tcW w:w="23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使用仪器及编号</w:t>
                  </w:r>
                </w:p>
              </w:tc>
              <w:tc>
                <w:tcPr>
                  <w:tcW w:w="11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检出限</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eastAsia="zh-CN"/>
                    </w:rPr>
                    <w:t>（</w:t>
                  </w:r>
                  <w:r>
                    <w:rPr>
                      <w:rFonts w:hint="default" w:ascii="Times New Roman" w:hAnsi="Times New Roman" w:eastAsia="宋体" w:cs="Times New Roman"/>
                      <w:b/>
                      <w:bCs/>
                      <w:color w:val="auto"/>
                      <w:sz w:val="21"/>
                      <w:szCs w:val="21"/>
                      <w:highlight w:val="none"/>
                      <w:lang w:val="en-US" w:eastAsia="zh-CN"/>
                    </w:rPr>
                    <w:t>mg/m</w:t>
                  </w:r>
                  <w:r>
                    <w:rPr>
                      <w:rFonts w:hint="default" w:ascii="Times New Roman" w:hAnsi="Times New Roman" w:eastAsia="宋体" w:cs="Times New Roman"/>
                      <w:b/>
                      <w:bCs/>
                      <w:color w:val="auto"/>
                      <w:sz w:val="21"/>
                      <w:szCs w:val="21"/>
                      <w:highlight w:val="none"/>
                      <w:vertAlign w:val="superscript"/>
                      <w:lang w:val="en-US" w:eastAsia="zh-CN"/>
                    </w:rPr>
                    <w:t>3</w:t>
                  </w:r>
                  <w:r>
                    <w:rPr>
                      <w:rFonts w:hint="default" w:ascii="Times New Roman" w:hAnsi="Times New Roman" w:eastAsia="宋体" w:cs="Times New Roman"/>
                      <w:b/>
                      <w:bCs/>
                      <w:color w:val="auto"/>
                      <w:sz w:val="21"/>
                      <w:szCs w:val="21"/>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 w:val="0"/>
                      <w:bCs/>
                      <w:color w:val="auto"/>
                      <w:sz w:val="21"/>
                      <w:szCs w:val="21"/>
                      <w:highlight w:val="none"/>
                      <w:lang w:val="en-US" w:eastAsia="zh-CN"/>
                    </w:rPr>
                    <w:t>油烟</w:t>
                  </w:r>
                </w:p>
              </w:tc>
              <w:tc>
                <w:tcPr>
                  <w:tcW w:w="2280"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kern w:val="2"/>
                      <w:sz w:val="21"/>
                      <w:szCs w:val="21"/>
                      <w:highlight w:val="none"/>
                      <w:lang w:val="en-US" w:eastAsia="zh-CN" w:bidi="ar-SA"/>
                    </w:rPr>
                    <w:t>固定污染源废气 油烟和油雾的测定 红外分光光度法</w:t>
                  </w:r>
                </w:p>
              </w:tc>
              <w:tc>
                <w:tcPr>
                  <w:tcW w:w="1822"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kern w:val="2"/>
                      <w:sz w:val="21"/>
                      <w:szCs w:val="21"/>
                      <w:highlight w:val="none"/>
                      <w:lang w:val="en-US" w:eastAsia="zh-CN" w:bidi="ar-SA"/>
                    </w:rPr>
                    <w:t>HJ1077-2019</w:t>
                  </w:r>
                </w:p>
              </w:tc>
              <w:tc>
                <w:tcPr>
                  <w:tcW w:w="231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sz w:val="21"/>
                      <w:szCs w:val="21"/>
                    </w:rPr>
                    <w:t>OIL460红外分光测油仪RX-YQ-048</w:t>
                  </w:r>
                </w:p>
              </w:tc>
              <w:tc>
                <w:tcPr>
                  <w:tcW w:w="114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outlineLvl w:val="9"/>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VOC</w:t>
                  </w:r>
                  <w:r>
                    <w:rPr>
                      <w:rFonts w:hint="default" w:ascii="Times New Roman" w:hAnsi="Times New Roman" w:eastAsia="宋体" w:cs="Times New Roman"/>
                      <w:color w:val="auto"/>
                      <w:sz w:val="21"/>
                      <w:szCs w:val="21"/>
                      <w:highlight w:val="none"/>
                      <w:vertAlign w:val="subscript"/>
                      <w:lang w:val="en-US" w:eastAsia="zh-CN"/>
                    </w:rPr>
                    <w:t>S</w:t>
                  </w:r>
                  <w:r>
                    <w:rPr>
                      <w:rFonts w:hint="default" w:ascii="Times New Roman" w:hAnsi="Times New Roman" w:eastAsia="宋体" w:cs="Times New Roman"/>
                      <w:color w:val="auto"/>
                      <w:sz w:val="21"/>
                      <w:szCs w:val="21"/>
                      <w:highlight w:val="none"/>
                      <w:vertAlign w:val="baseline"/>
                      <w:lang w:val="en-US" w:eastAsia="zh-CN"/>
                    </w:rPr>
                    <w:t>（非甲烷总烃计）</w:t>
                  </w:r>
                </w:p>
              </w:tc>
              <w:tc>
                <w:tcPr>
                  <w:tcW w:w="2280"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kern w:val="2"/>
                      <w:sz w:val="21"/>
                      <w:szCs w:val="21"/>
                      <w:highlight w:val="none"/>
                      <w:lang w:val="en-US" w:eastAsia="zh-CN" w:bidi="ar-SA"/>
                    </w:rPr>
                    <w:t>固定污染源废气 总烃、甲烷和非甲烷总烃的测定 气相色谱法</w:t>
                  </w:r>
                </w:p>
              </w:tc>
              <w:tc>
                <w:tcPr>
                  <w:tcW w:w="1822"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kern w:val="2"/>
                      <w:sz w:val="21"/>
                      <w:szCs w:val="21"/>
                      <w:highlight w:val="none"/>
                      <w:lang w:val="en-US" w:eastAsia="zh-CN" w:bidi="ar-SA"/>
                    </w:rPr>
                    <w:t>HJ38-2017</w:t>
                  </w:r>
                </w:p>
              </w:tc>
              <w:tc>
                <w:tcPr>
                  <w:tcW w:w="231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GC9800气相色谱仪RX-YQ-035</w:t>
                  </w:r>
                </w:p>
              </w:tc>
              <w:tc>
                <w:tcPr>
                  <w:tcW w:w="114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0.07</w:t>
                  </w:r>
                </w:p>
              </w:tc>
            </w:tr>
          </w:tbl>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eastAsia" w:ascii="Times New Roman" w:hAnsi="Times New Roman" w:cs="Times New Roman"/>
                <w:b/>
                <w:bCs/>
                <w:color w:val="auto"/>
                <w:sz w:val="18"/>
                <w:szCs w:val="18"/>
                <w:highlight w:val="none"/>
                <w:lang w:val="en-US" w:eastAsia="zh-CN"/>
              </w:rPr>
            </w:pPr>
          </w:p>
          <w:p>
            <w:pPr>
              <w:widowControl w:val="0"/>
              <w:spacing w:line="360" w:lineRule="auto"/>
              <w:jc w:val="both"/>
              <w:rPr>
                <w:rFonts w:hint="default" w:ascii="Times New Roman" w:hAnsi="Times New Roman" w:cs="Times New Roman"/>
                <w:b/>
                <w:bCs/>
                <w:color w:val="auto"/>
                <w:sz w:val="18"/>
                <w:szCs w:val="18"/>
                <w:highlight w:val="none"/>
                <w:lang w:val="en-US" w:eastAsia="zh-CN"/>
              </w:rPr>
            </w:pPr>
          </w:p>
        </w:tc>
      </w:tr>
    </w:tbl>
    <w:p>
      <w:pPr>
        <w:pStyle w:val="9"/>
        <w:rPr>
          <w:rFonts w:hint="default"/>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
        <w:rPr>
          <w:rFonts w:hint="eastAsia" w:ascii="Times New Roman" w:hAnsi="Times New Roman" w:eastAsia="宋体" w:cs="Times New Roman"/>
          <w:b/>
          <w:bCs/>
          <w:color w:val="auto"/>
          <w:highlight w:val="none"/>
          <w:lang w:val="en-US" w:eastAsia="zh-CN"/>
        </w:rPr>
      </w:pPr>
      <w:bookmarkStart w:id="57" w:name="_Toc24056"/>
      <w:r>
        <w:rPr>
          <w:rFonts w:hint="default" w:ascii="Times New Roman" w:hAnsi="Times New Roman" w:eastAsia="宋体" w:cs="Times New Roman"/>
          <w:b/>
          <w:bCs/>
          <w:color w:val="auto"/>
          <w:highlight w:val="none"/>
        </w:rPr>
        <w:t>表七</w:t>
      </w:r>
      <w:r>
        <w:rPr>
          <w:rFonts w:hint="eastAsia" w:ascii="Times New Roman" w:hAnsi="Times New Roman" w:eastAsia="宋体" w:cs="Times New Roman"/>
          <w:b/>
          <w:bCs/>
          <w:color w:val="auto"/>
          <w:highlight w:val="none"/>
          <w:lang w:val="en-US" w:eastAsia="zh-CN"/>
        </w:rPr>
        <w:t xml:space="preserve">  验收监测结果及评价</w:t>
      </w:r>
      <w:bookmarkEnd w:id="57"/>
    </w:p>
    <w:tbl>
      <w:tblPr>
        <w:tblStyle w:val="24"/>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9257" w:type="dxa"/>
            <w:vAlign w:val="top"/>
          </w:tcPr>
          <w:p>
            <w:pPr>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rPr>
              <w:t>验收监测期间生产工况记录：</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本次验收监测时间为2021年11月16日～17日，监测期间项目配套的环保设施正常运行，符合竣工环境保护验收条件，工况如下：</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jc w:val="center"/>
              <w:textAlignment w:val="auto"/>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表7-1项目验收时工况</w:t>
            </w:r>
          </w:p>
          <w:tbl>
            <w:tblPr>
              <w:tblStyle w:val="2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1504"/>
              <w:gridCol w:w="1333"/>
              <w:gridCol w:w="1680"/>
              <w:gridCol w:w="1504"/>
              <w:gridCol w:w="15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83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tLeast"/>
                    <w:jc w:val="center"/>
                    <w:textAlignment w:val="auto"/>
                    <w:outlineLvl w:val="9"/>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
                      <w:bCs w:val="0"/>
                      <w:color w:val="auto"/>
                      <w:sz w:val="21"/>
                      <w:szCs w:val="21"/>
                      <w:highlight w:val="none"/>
                      <w:vertAlign w:val="baseline"/>
                      <w:lang w:val="en-US" w:eastAsia="zh-CN"/>
                    </w:rPr>
                    <w:t>检测日期</w:t>
                  </w:r>
                </w:p>
              </w:tc>
              <w:tc>
                <w:tcPr>
                  <w:tcW w:w="83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tLeast"/>
                    <w:jc w:val="center"/>
                    <w:textAlignment w:val="auto"/>
                    <w:outlineLvl w:val="9"/>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
                      <w:bCs w:val="0"/>
                      <w:color w:val="auto"/>
                      <w:sz w:val="21"/>
                      <w:szCs w:val="21"/>
                      <w:highlight w:val="none"/>
                      <w:vertAlign w:val="baseline"/>
                      <w:lang w:val="en-US" w:eastAsia="zh-CN"/>
                    </w:rPr>
                    <w:t>产品名称</w:t>
                  </w:r>
                </w:p>
              </w:tc>
              <w:tc>
                <w:tcPr>
                  <w:tcW w:w="7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tLeast"/>
                    <w:jc w:val="center"/>
                    <w:textAlignment w:val="auto"/>
                    <w:outlineLvl w:val="9"/>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
                      <w:bCs w:val="0"/>
                      <w:color w:val="auto"/>
                      <w:sz w:val="21"/>
                      <w:szCs w:val="21"/>
                      <w:highlight w:val="none"/>
                      <w:vertAlign w:val="baseline"/>
                      <w:lang w:val="en-US" w:eastAsia="zh-CN"/>
                    </w:rPr>
                    <w:t>设计产量</w:t>
                  </w:r>
                </w:p>
              </w:tc>
              <w:tc>
                <w:tcPr>
                  <w:tcW w:w="92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tLeast"/>
                    <w:jc w:val="center"/>
                    <w:textAlignment w:val="auto"/>
                    <w:outlineLvl w:val="9"/>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
                      <w:bCs w:val="0"/>
                      <w:color w:val="auto"/>
                      <w:sz w:val="21"/>
                      <w:szCs w:val="21"/>
                      <w:highlight w:val="none"/>
                      <w:vertAlign w:val="baseline"/>
                      <w:lang w:val="en-US" w:eastAsia="zh-CN"/>
                    </w:rPr>
                    <w:t>检测当天产量</w:t>
                  </w:r>
                </w:p>
              </w:tc>
              <w:tc>
                <w:tcPr>
                  <w:tcW w:w="83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tLeast"/>
                    <w:jc w:val="center"/>
                    <w:textAlignment w:val="auto"/>
                    <w:outlineLvl w:val="9"/>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
                      <w:bCs w:val="0"/>
                      <w:color w:val="auto"/>
                      <w:sz w:val="21"/>
                      <w:szCs w:val="21"/>
                      <w:highlight w:val="none"/>
                      <w:vertAlign w:val="baseline"/>
                      <w:lang w:val="en-US" w:eastAsia="zh-CN"/>
                    </w:rPr>
                    <w:t>工况百分比（%）</w:t>
                  </w:r>
                </w:p>
              </w:tc>
              <w:tc>
                <w:tcPr>
                  <w:tcW w:w="8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tLeast"/>
                    <w:jc w:val="center"/>
                    <w:textAlignment w:val="auto"/>
                    <w:outlineLvl w:val="9"/>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
                      <w:bCs w:val="0"/>
                      <w:color w:val="auto"/>
                      <w:sz w:val="21"/>
                      <w:szCs w:val="21"/>
                      <w:highlight w:val="none"/>
                      <w:vertAlign w:val="baseline"/>
                      <w:lang w:val="en-US" w:eastAsia="zh-CN"/>
                    </w:rPr>
                    <w:t>年生产天数（天）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11.16</w:t>
                  </w:r>
                </w:p>
              </w:tc>
              <w:tc>
                <w:tcPr>
                  <w:tcW w:w="832"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eastAsia="宋体" w:cs="Times New Roman"/>
                      <w:b w:val="0"/>
                      <w:bCs/>
                      <w:color w:val="auto"/>
                      <w:sz w:val="21"/>
                      <w:szCs w:val="21"/>
                      <w:highlight w:val="none"/>
                      <w:vertAlign w:val="baseline"/>
                      <w:lang w:val="en-US" w:eastAsia="zh-CN"/>
                    </w:rPr>
                    <w:t>成都工业学院</w:t>
                  </w:r>
                </w:p>
              </w:tc>
              <w:tc>
                <w:tcPr>
                  <w:tcW w:w="737"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6000</w:t>
                  </w:r>
                </w:p>
              </w:tc>
              <w:tc>
                <w:tcPr>
                  <w:tcW w:w="92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5200</w:t>
                  </w:r>
                </w:p>
              </w:tc>
              <w:tc>
                <w:tcPr>
                  <w:tcW w:w="83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86.67</w:t>
                  </w:r>
                </w:p>
              </w:tc>
              <w:tc>
                <w:tcPr>
                  <w:tcW w:w="8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280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val="0"/>
                      <w:bCs/>
                      <w:color w:val="auto"/>
                      <w:sz w:val="21"/>
                      <w:szCs w:val="21"/>
                      <w:highlight w:val="none"/>
                      <w:vertAlign w:val="baseline"/>
                      <w:lang w:val="en-US" w:eastAsia="zh-CN" w:bidi="ar-SA"/>
                    </w:rPr>
                  </w:pPr>
                  <w:r>
                    <w:rPr>
                      <w:rFonts w:hint="eastAsia" w:ascii="Times New Roman" w:hAnsi="Times New Roman" w:eastAsia="宋体" w:cs="Times New Roman"/>
                      <w:b w:val="0"/>
                      <w:bCs/>
                      <w:color w:val="auto"/>
                      <w:sz w:val="21"/>
                      <w:szCs w:val="21"/>
                      <w:highlight w:val="none"/>
                      <w:vertAlign w:val="baseline"/>
                      <w:lang w:val="en-US" w:eastAsia="zh-CN" w:bidi="ar-SA"/>
                    </w:rPr>
                    <w:t>11.17</w:t>
                  </w:r>
                </w:p>
              </w:tc>
              <w:tc>
                <w:tcPr>
                  <w:tcW w:w="832"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val="0"/>
                      <w:bCs/>
                      <w:color w:val="auto"/>
                      <w:sz w:val="21"/>
                      <w:szCs w:val="21"/>
                      <w:highlight w:val="none"/>
                      <w:vertAlign w:val="baseline"/>
                      <w:lang w:val="en-US" w:eastAsia="zh-CN" w:bidi="ar-SA"/>
                    </w:rPr>
                  </w:pPr>
                </w:p>
              </w:tc>
              <w:tc>
                <w:tcPr>
                  <w:tcW w:w="737"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val="0"/>
                      <w:bCs/>
                      <w:color w:val="auto"/>
                      <w:sz w:val="21"/>
                      <w:szCs w:val="21"/>
                      <w:highlight w:val="none"/>
                      <w:vertAlign w:val="baseline"/>
                      <w:lang w:val="en-US" w:eastAsia="zh-CN" w:bidi="ar-SA"/>
                    </w:rPr>
                  </w:pPr>
                </w:p>
              </w:tc>
              <w:tc>
                <w:tcPr>
                  <w:tcW w:w="92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val="0"/>
                      <w:bCs/>
                      <w:color w:val="auto"/>
                      <w:sz w:val="21"/>
                      <w:szCs w:val="21"/>
                      <w:highlight w:val="none"/>
                      <w:vertAlign w:val="baseline"/>
                      <w:lang w:val="en-US" w:eastAsia="zh-CN" w:bidi="ar-SA"/>
                    </w:rPr>
                  </w:pPr>
                  <w:r>
                    <w:rPr>
                      <w:rFonts w:hint="eastAsia" w:ascii="Times New Roman" w:hAnsi="Times New Roman" w:eastAsia="宋体" w:cs="Times New Roman"/>
                      <w:b w:val="0"/>
                      <w:bCs/>
                      <w:color w:val="auto"/>
                      <w:sz w:val="21"/>
                      <w:szCs w:val="21"/>
                      <w:highlight w:val="none"/>
                      <w:vertAlign w:val="baseline"/>
                      <w:lang w:val="en-US" w:eastAsia="zh-CN" w:bidi="ar-SA"/>
                    </w:rPr>
                    <w:t>5200</w:t>
                  </w:r>
                </w:p>
              </w:tc>
              <w:tc>
                <w:tcPr>
                  <w:tcW w:w="83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val="0"/>
                      <w:bCs/>
                      <w:color w:val="auto"/>
                      <w:sz w:val="21"/>
                      <w:szCs w:val="21"/>
                      <w:highlight w:val="none"/>
                      <w:vertAlign w:val="baseline"/>
                      <w:lang w:val="en-US" w:eastAsia="zh-CN" w:bidi="ar-SA"/>
                    </w:rPr>
                  </w:pPr>
                  <w:r>
                    <w:rPr>
                      <w:rFonts w:hint="eastAsia" w:ascii="Times New Roman" w:hAnsi="Times New Roman" w:eastAsia="宋体" w:cs="Times New Roman"/>
                      <w:b w:val="0"/>
                      <w:bCs/>
                      <w:color w:val="auto"/>
                      <w:sz w:val="21"/>
                      <w:szCs w:val="21"/>
                      <w:highlight w:val="none"/>
                      <w:vertAlign w:val="baseline"/>
                      <w:lang w:val="en-US" w:eastAsia="zh-CN"/>
                    </w:rPr>
                    <w:t>86.67</w:t>
                  </w:r>
                </w:p>
              </w:tc>
              <w:tc>
                <w:tcPr>
                  <w:tcW w:w="83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b w:val="0"/>
                      <w:bCs/>
                      <w:color w:val="auto"/>
                      <w:sz w:val="21"/>
                      <w:szCs w:val="21"/>
                      <w:highlight w:val="none"/>
                      <w:vertAlign w:val="baseline"/>
                      <w:lang w:val="en-US" w:eastAsia="zh-CN" w:bidi="ar-SA"/>
                    </w:rPr>
                  </w:pPr>
                  <w:r>
                    <w:rPr>
                      <w:rFonts w:hint="eastAsia" w:ascii="Times New Roman" w:hAnsi="Times New Roman" w:eastAsia="宋体" w:cs="Times New Roman"/>
                      <w:b w:val="0"/>
                      <w:bCs/>
                      <w:color w:val="auto"/>
                      <w:sz w:val="21"/>
                      <w:szCs w:val="21"/>
                      <w:highlight w:val="none"/>
                      <w:vertAlign w:val="baseline"/>
                      <w:lang w:val="en-US" w:eastAsia="zh-CN" w:bidi="ar-SA"/>
                    </w:rPr>
                    <w:t>280</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根据上表可知，验收监测期间，生产设备和环保设施运行正常，监测数据有效。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3" w:hRule="atLeast"/>
          <w:jc w:val="center"/>
        </w:trPr>
        <w:tc>
          <w:tcPr>
            <w:tcW w:w="9257"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7.1废气监测结果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（1）有组织废气监测结果见表7-2。</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表7-2无组织废气（油烟）监测结果表</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758"/>
              <w:gridCol w:w="530"/>
              <w:gridCol w:w="949"/>
              <w:gridCol w:w="892"/>
              <w:gridCol w:w="1168"/>
              <w:gridCol w:w="2040"/>
              <w:gridCol w:w="1293"/>
              <w:gridCol w:w="8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检测日期</w:t>
                  </w:r>
                </w:p>
              </w:tc>
              <w:tc>
                <w:tcPr>
                  <w:tcW w:w="29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排气筒高度（m）</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基准灶头数（个）</w:t>
                  </w:r>
                </w:p>
              </w:tc>
              <w:tc>
                <w:tcPr>
                  <w:tcW w:w="64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标干</w:t>
                  </w:r>
                  <w:r>
                    <w:rPr>
                      <w:rFonts w:hint="default" w:ascii="Times New Roman" w:hAnsi="Times New Roman" w:eastAsia="宋体" w:cs="Times New Roman"/>
                      <w:sz w:val="21"/>
                      <w:szCs w:val="21"/>
                    </w:rPr>
                    <w:t>流量（m3/h）</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排气筒检测口距地面12m处</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r>
                    <w:rPr>
                      <w:rFonts w:hint="default" w:ascii="Times New Roman" w:hAnsi="Times New Roman" w:eastAsia="宋体" w:cs="Times New Roman"/>
                      <w:sz w:val="21"/>
                      <w:szCs w:val="21"/>
                    </w:rPr>
                    <w:t>（mg/m3）</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油烟基准排放浓度（mg/m3）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11月16</w:t>
                  </w:r>
                  <w:r>
                    <w:rPr>
                      <w:rFonts w:hint="default" w:ascii="Times New Roman" w:hAnsi="Times New Roman" w:eastAsia="宋体" w:cs="Times New Roman"/>
                      <w:sz w:val="21"/>
                      <w:szCs w:val="21"/>
                    </w:rPr>
                    <w:t>日</w:t>
                  </w: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5.5</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4574</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6801</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0</w:t>
                  </w:r>
                  <w:r>
                    <w:rPr>
                      <w:rFonts w:hint="default" w:ascii="Times New Roman" w:hAnsi="Times New Roman" w:eastAsia="宋体" w:cs="Times New Roman"/>
                      <w:sz w:val="21"/>
                      <w:szCs w:val="21"/>
                      <w:lang w:val="en-US" w:eastAsia="zh-CN"/>
                    </w:rPr>
                    <w:t>.</w:t>
                  </w: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7126</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7374</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7581</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31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w:t>
                  </w:r>
                </w:p>
              </w:tc>
              <w:tc>
                <w:tcPr>
                  <w:tcW w:w="7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49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检测日期</w:t>
                  </w:r>
                </w:p>
              </w:tc>
              <w:tc>
                <w:tcPr>
                  <w:tcW w:w="29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排气筒高度（m）</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基准灶头数（个）</w:t>
                  </w:r>
                </w:p>
              </w:tc>
              <w:tc>
                <w:tcPr>
                  <w:tcW w:w="64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标干</w:t>
                  </w:r>
                  <w:r>
                    <w:rPr>
                      <w:rFonts w:hint="default" w:ascii="Times New Roman" w:hAnsi="Times New Roman" w:eastAsia="宋体" w:cs="Times New Roman"/>
                      <w:sz w:val="21"/>
                      <w:szCs w:val="21"/>
                    </w:rPr>
                    <w:t>流量（m3/h）</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排气筒检测口距地面12m处</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r>
                    <w:rPr>
                      <w:rFonts w:hint="default" w:ascii="Times New Roman" w:hAnsi="Times New Roman" w:eastAsia="宋体" w:cs="Times New Roman"/>
                      <w:sz w:val="21"/>
                      <w:szCs w:val="21"/>
                    </w:rPr>
                    <w:t>（mg/m3）</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油烟基准排放浓度（mg/m3）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11月16</w:t>
                  </w:r>
                  <w:r>
                    <w:rPr>
                      <w:rFonts w:hint="default" w:ascii="Times New Roman" w:hAnsi="Times New Roman" w:eastAsia="宋体" w:cs="Times New Roman"/>
                      <w:sz w:val="21"/>
                      <w:szCs w:val="21"/>
                    </w:rPr>
                    <w:t>日</w:t>
                  </w: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5.5</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7797</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7826</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0</w:t>
                  </w:r>
                  <w:r>
                    <w:rPr>
                      <w:rFonts w:hint="default" w:ascii="Times New Roman" w:hAnsi="Times New Roman" w:eastAsia="宋体" w:cs="Times New Roman"/>
                      <w:sz w:val="21"/>
                      <w:szCs w:val="21"/>
                      <w:lang w:val="en-US" w:eastAsia="zh-CN"/>
                    </w:rPr>
                    <w:t>.</w:t>
                  </w: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7838</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5460</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7096</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31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7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49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检测日期</w:t>
                  </w:r>
                </w:p>
              </w:tc>
              <w:tc>
                <w:tcPr>
                  <w:tcW w:w="29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排气筒高度（m）</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基准灶头数（个）</w:t>
                  </w:r>
                </w:p>
              </w:tc>
              <w:tc>
                <w:tcPr>
                  <w:tcW w:w="64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标干</w:t>
                  </w:r>
                  <w:r>
                    <w:rPr>
                      <w:rFonts w:hint="default" w:ascii="Times New Roman" w:hAnsi="Times New Roman" w:eastAsia="宋体" w:cs="Times New Roman"/>
                      <w:sz w:val="21"/>
                      <w:szCs w:val="21"/>
                    </w:rPr>
                    <w:t>流量（m3/h）</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排气筒检测口距地面12m处</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r>
                    <w:rPr>
                      <w:rFonts w:hint="default" w:ascii="Times New Roman" w:hAnsi="Times New Roman" w:eastAsia="宋体" w:cs="Times New Roman"/>
                      <w:sz w:val="21"/>
                      <w:szCs w:val="21"/>
                    </w:rPr>
                    <w:t>（mg/m3）</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油烟基准排放浓度（mg/m3）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11月16</w:t>
                  </w:r>
                  <w:r>
                    <w:rPr>
                      <w:rFonts w:hint="default" w:ascii="Times New Roman" w:hAnsi="Times New Roman" w:eastAsia="宋体" w:cs="Times New Roman"/>
                      <w:sz w:val="21"/>
                      <w:szCs w:val="21"/>
                    </w:rPr>
                    <w:t>日</w:t>
                  </w: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5.5</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6877</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6098</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0</w:t>
                  </w:r>
                  <w:r>
                    <w:rPr>
                      <w:rFonts w:hint="default" w:ascii="Times New Roman" w:hAnsi="Times New Roman" w:eastAsia="宋体" w:cs="Times New Roman"/>
                      <w:sz w:val="21"/>
                      <w:szCs w:val="21"/>
                      <w:lang w:val="en-US" w:eastAsia="zh-CN"/>
                    </w:rPr>
                    <w:t>.</w:t>
                  </w: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5668</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5491</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3216</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31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7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49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检测日期</w:t>
                  </w:r>
                </w:p>
              </w:tc>
              <w:tc>
                <w:tcPr>
                  <w:tcW w:w="29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排气筒高度（m）</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基准灶头数（个）</w:t>
                  </w:r>
                </w:p>
              </w:tc>
              <w:tc>
                <w:tcPr>
                  <w:tcW w:w="64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标干</w:t>
                  </w:r>
                  <w:r>
                    <w:rPr>
                      <w:rFonts w:hint="default" w:ascii="Times New Roman" w:hAnsi="Times New Roman" w:eastAsia="宋体" w:cs="Times New Roman"/>
                      <w:sz w:val="21"/>
                      <w:szCs w:val="21"/>
                    </w:rPr>
                    <w:t>流量（m3/h）</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排气筒检测口距地面12m处</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r>
                    <w:rPr>
                      <w:rFonts w:hint="default" w:ascii="Times New Roman" w:hAnsi="Times New Roman" w:eastAsia="宋体" w:cs="Times New Roman"/>
                      <w:sz w:val="21"/>
                      <w:szCs w:val="21"/>
                    </w:rPr>
                    <w:t>（mg/m3）</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油烟基准排放浓度（mg/m3）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11月16</w:t>
                  </w:r>
                  <w:r>
                    <w:rPr>
                      <w:rFonts w:hint="default" w:ascii="Times New Roman" w:hAnsi="Times New Roman" w:eastAsia="宋体" w:cs="Times New Roman"/>
                      <w:sz w:val="21"/>
                      <w:szCs w:val="21"/>
                    </w:rPr>
                    <w:t>日</w:t>
                  </w: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5.5</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6031</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6737</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0.9</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0</w:t>
                  </w:r>
                  <w:r>
                    <w:rPr>
                      <w:rFonts w:hint="default" w:ascii="Times New Roman" w:hAnsi="Times New Roman" w:eastAsia="宋体" w:cs="Times New Roman"/>
                      <w:sz w:val="21"/>
                      <w:szCs w:val="21"/>
                      <w:lang w:val="en-US" w:eastAsia="zh-CN"/>
                    </w:rPr>
                    <w:t>.</w:t>
                  </w: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6869</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6984</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7103</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31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0.9</w:t>
                  </w:r>
                </w:p>
              </w:tc>
              <w:tc>
                <w:tcPr>
                  <w:tcW w:w="7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49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检测日期</w:t>
                  </w:r>
                </w:p>
              </w:tc>
              <w:tc>
                <w:tcPr>
                  <w:tcW w:w="29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排气筒高度（m）</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基准灶头数（个）</w:t>
                  </w:r>
                </w:p>
              </w:tc>
              <w:tc>
                <w:tcPr>
                  <w:tcW w:w="64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标干</w:t>
                  </w:r>
                  <w:r>
                    <w:rPr>
                      <w:rFonts w:hint="default" w:ascii="Times New Roman" w:hAnsi="Times New Roman" w:eastAsia="宋体" w:cs="Times New Roman"/>
                      <w:sz w:val="21"/>
                      <w:szCs w:val="21"/>
                    </w:rPr>
                    <w:t>流量（m3/h）</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排气筒检测口距地面12m处</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r>
                    <w:rPr>
                      <w:rFonts w:hint="default" w:ascii="Times New Roman" w:hAnsi="Times New Roman" w:eastAsia="宋体" w:cs="Times New Roman"/>
                      <w:sz w:val="21"/>
                      <w:szCs w:val="21"/>
                    </w:rPr>
                    <w:t>（mg/m3）</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油烟基准排放浓度（mg/m3）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11月17</w:t>
                  </w:r>
                  <w:r>
                    <w:rPr>
                      <w:rFonts w:hint="default" w:ascii="Times New Roman" w:hAnsi="Times New Roman" w:eastAsia="宋体" w:cs="Times New Roman"/>
                      <w:sz w:val="21"/>
                      <w:szCs w:val="21"/>
                    </w:rPr>
                    <w:t>日</w:t>
                  </w: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5.5</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5703</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5398</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0</w:t>
                  </w:r>
                  <w:r>
                    <w:rPr>
                      <w:rFonts w:hint="default" w:ascii="Times New Roman" w:hAnsi="Times New Roman" w:eastAsia="宋体" w:cs="Times New Roman"/>
                      <w:sz w:val="21"/>
                      <w:szCs w:val="21"/>
                      <w:lang w:val="en-US" w:eastAsia="zh-CN"/>
                    </w:rPr>
                    <w:t>.</w:t>
                  </w: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5041</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4509</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3607</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31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0.3</w:t>
                  </w:r>
                </w:p>
              </w:tc>
              <w:tc>
                <w:tcPr>
                  <w:tcW w:w="7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49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检测日期</w:t>
                  </w:r>
                </w:p>
              </w:tc>
              <w:tc>
                <w:tcPr>
                  <w:tcW w:w="29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排气筒高度（m）</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基准灶头数（个）</w:t>
                  </w:r>
                </w:p>
              </w:tc>
              <w:tc>
                <w:tcPr>
                  <w:tcW w:w="64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标干</w:t>
                  </w:r>
                  <w:r>
                    <w:rPr>
                      <w:rFonts w:hint="default" w:ascii="Times New Roman" w:hAnsi="Times New Roman" w:eastAsia="宋体" w:cs="Times New Roman"/>
                      <w:sz w:val="21"/>
                      <w:szCs w:val="21"/>
                    </w:rPr>
                    <w:t>流量（m3/h）</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排气筒检测口距地面12m处</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r>
                    <w:rPr>
                      <w:rFonts w:hint="default" w:ascii="Times New Roman" w:hAnsi="Times New Roman" w:eastAsia="宋体" w:cs="Times New Roman"/>
                      <w:sz w:val="21"/>
                      <w:szCs w:val="21"/>
                    </w:rPr>
                    <w:t>（mg/m3）</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油烟基准排放浓度（mg/m3）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11月17</w:t>
                  </w:r>
                  <w:r>
                    <w:rPr>
                      <w:rFonts w:hint="default" w:ascii="Times New Roman" w:hAnsi="Times New Roman" w:eastAsia="宋体" w:cs="Times New Roman"/>
                      <w:sz w:val="21"/>
                      <w:szCs w:val="21"/>
                    </w:rPr>
                    <w:t>日</w:t>
                  </w: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5.5</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5335</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5417</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0</w:t>
                  </w:r>
                  <w:r>
                    <w:rPr>
                      <w:rFonts w:hint="default" w:ascii="Times New Roman" w:hAnsi="Times New Roman" w:eastAsia="宋体" w:cs="Times New Roman"/>
                      <w:sz w:val="21"/>
                      <w:szCs w:val="21"/>
                      <w:lang w:val="en-US" w:eastAsia="zh-CN"/>
                    </w:rPr>
                    <w:t>.</w:t>
                  </w: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4871</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4934</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5165</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31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0.5</w:t>
                  </w:r>
                </w:p>
              </w:tc>
              <w:tc>
                <w:tcPr>
                  <w:tcW w:w="7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49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检测日期</w:t>
                  </w:r>
                </w:p>
              </w:tc>
              <w:tc>
                <w:tcPr>
                  <w:tcW w:w="29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排气筒高度（m）</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基准灶头数（个）</w:t>
                  </w:r>
                </w:p>
              </w:tc>
              <w:tc>
                <w:tcPr>
                  <w:tcW w:w="64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标干</w:t>
                  </w:r>
                  <w:r>
                    <w:rPr>
                      <w:rFonts w:hint="default" w:ascii="Times New Roman" w:hAnsi="Times New Roman" w:eastAsia="宋体" w:cs="Times New Roman"/>
                      <w:sz w:val="21"/>
                      <w:szCs w:val="21"/>
                    </w:rPr>
                    <w:t>流量（m3/h）</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排气筒检测口距地面12m处</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r>
                    <w:rPr>
                      <w:rFonts w:hint="default" w:ascii="Times New Roman" w:hAnsi="Times New Roman" w:eastAsia="宋体" w:cs="Times New Roman"/>
                      <w:sz w:val="21"/>
                      <w:szCs w:val="21"/>
                    </w:rPr>
                    <w:t>（mg/m3）</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油烟基准排放浓度（mg/m3）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11月17</w:t>
                  </w:r>
                  <w:r>
                    <w:rPr>
                      <w:rFonts w:hint="default" w:ascii="Times New Roman" w:hAnsi="Times New Roman" w:eastAsia="宋体" w:cs="Times New Roman"/>
                      <w:sz w:val="21"/>
                      <w:szCs w:val="21"/>
                    </w:rPr>
                    <w:t>日</w:t>
                  </w: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5.5</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5086</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4974</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0</w:t>
                  </w:r>
                  <w:r>
                    <w:rPr>
                      <w:rFonts w:hint="default" w:ascii="Times New Roman" w:hAnsi="Times New Roman" w:eastAsia="宋体" w:cs="Times New Roman"/>
                      <w:sz w:val="21"/>
                      <w:szCs w:val="21"/>
                      <w:lang w:val="en-US" w:eastAsia="zh-CN"/>
                    </w:rPr>
                    <w:t>.</w:t>
                  </w: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6694</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2728</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7090</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31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7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49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检测日期</w:t>
                  </w:r>
                </w:p>
              </w:tc>
              <w:tc>
                <w:tcPr>
                  <w:tcW w:w="29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排气筒高度（m）</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基准灶头数（个）</w:t>
                  </w:r>
                </w:p>
              </w:tc>
              <w:tc>
                <w:tcPr>
                  <w:tcW w:w="646"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标干</w:t>
                  </w:r>
                  <w:r>
                    <w:rPr>
                      <w:rFonts w:hint="default" w:ascii="Times New Roman" w:hAnsi="Times New Roman" w:eastAsia="宋体" w:cs="Times New Roman"/>
                      <w:sz w:val="21"/>
                      <w:szCs w:val="21"/>
                    </w:rPr>
                    <w:t>流量（m3/h）</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排气筒检测口距地面12m处</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r>
                    <w:rPr>
                      <w:rFonts w:hint="default" w:ascii="Times New Roman" w:hAnsi="Times New Roman" w:eastAsia="宋体" w:cs="Times New Roman"/>
                      <w:sz w:val="21"/>
                      <w:szCs w:val="21"/>
                    </w:rPr>
                    <w:t>（mg/m3）</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油烟基准排放浓度（mg/m3）</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w:t>
                  </w:r>
                </w:p>
              </w:tc>
              <w:tc>
                <w:tcPr>
                  <w:tcW w:w="4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11月17</w:t>
                  </w:r>
                  <w:r>
                    <w:rPr>
                      <w:rFonts w:hint="default" w:ascii="Times New Roman" w:hAnsi="Times New Roman" w:eastAsia="宋体" w:cs="Times New Roman"/>
                      <w:sz w:val="21"/>
                      <w:szCs w:val="21"/>
                    </w:rPr>
                    <w:t>日</w:t>
                  </w: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52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49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5.5</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7308</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w:t>
                  </w:r>
                </w:p>
              </w:tc>
              <w:tc>
                <w:tcPr>
                  <w:tcW w:w="71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95"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7400</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0</w:t>
                  </w:r>
                  <w:r>
                    <w:rPr>
                      <w:rFonts w:hint="default" w:ascii="Times New Roman" w:hAnsi="Times New Roman" w:eastAsia="宋体" w:cs="Times New Roman"/>
                      <w:sz w:val="21"/>
                      <w:szCs w:val="21"/>
                      <w:lang w:val="en-US" w:eastAsia="zh-CN"/>
                    </w:rPr>
                    <w:t>.</w:t>
                  </w: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7469</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7429</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29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52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9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7360</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w:t>
                  </w:r>
                </w:p>
              </w:tc>
              <w:tc>
                <w:tcPr>
                  <w:tcW w:w="71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c>
                <w:tcPr>
                  <w:tcW w:w="495"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4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131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w:t>
                  </w:r>
                </w:p>
              </w:tc>
              <w:tc>
                <w:tcPr>
                  <w:tcW w:w="64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12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w:t>
                  </w:r>
                </w:p>
              </w:tc>
              <w:tc>
                <w:tcPr>
                  <w:tcW w:w="71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49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default" w:ascii="Times New Roman" w:hAnsi="Times New Roman" w:eastAsia="宋体" w:cs="Times New Roman"/>
                <w:b/>
                <w:bCs/>
                <w:color w:val="auto"/>
                <w:sz w:val="24"/>
                <w:szCs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表7-3有组织废气（VOC</w:t>
            </w:r>
            <w:r>
              <w:rPr>
                <w:rFonts w:hint="default" w:ascii="Times New Roman" w:hAnsi="Times New Roman" w:eastAsia="宋体" w:cs="Times New Roman"/>
                <w:b/>
                <w:bCs/>
                <w:color w:val="auto"/>
                <w:sz w:val="21"/>
                <w:szCs w:val="21"/>
                <w:highlight w:val="none"/>
                <w:vertAlign w:val="subscript"/>
                <w:lang w:val="en-US" w:eastAsia="zh-CN"/>
              </w:rPr>
              <w:t>S</w:t>
            </w:r>
            <w:r>
              <w:rPr>
                <w:rFonts w:hint="default" w:ascii="Times New Roman" w:hAnsi="Times New Roman" w:eastAsia="宋体" w:cs="Times New Roman"/>
                <w:b/>
                <w:bCs/>
                <w:color w:val="auto"/>
                <w:sz w:val="21"/>
                <w:szCs w:val="21"/>
                <w:highlight w:val="none"/>
                <w:lang w:val="en-US" w:eastAsia="zh-CN"/>
              </w:rPr>
              <w:t>）监测结果表</w:t>
            </w:r>
          </w:p>
          <w:tbl>
            <w:tblPr>
              <w:tblStyle w:val="24"/>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
              <w:gridCol w:w="763"/>
              <w:gridCol w:w="246"/>
              <w:gridCol w:w="798"/>
              <w:gridCol w:w="166"/>
              <w:gridCol w:w="56"/>
              <w:gridCol w:w="101"/>
              <w:gridCol w:w="1044"/>
              <w:gridCol w:w="36"/>
              <w:gridCol w:w="1067"/>
              <w:gridCol w:w="20"/>
              <w:gridCol w:w="1031"/>
              <w:gridCol w:w="99"/>
              <w:gridCol w:w="978"/>
              <w:gridCol w:w="24"/>
              <w:gridCol w:w="7"/>
              <w:gridCol w:w="1009"/>
              <w:gridCol w:w="40"/>
              <w:gridCol w:w="787"/>
              <w:gridCol w:w="25"/>
              <w:gridCol w:w="720"/>
              <w:gridCol w:w="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95" w:type="pct"/>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2451" w:type="pct"/>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排气筒检测口距地面18.5m处</w:t>
                  </w:r>
                </w:p>
              </w:tc>
              <w:tc>
                <w:tcPr>
                  <w:tcW w:w="1452" w:type="pct"/>
                  <w:gridSpan w:val="8"/>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r>
                    <w:rPr>
                      <w:rFonts w:hint="default" w:ascii="Times New Roman" w:hAnsi="Times New Roman" w:eastAsia="宋体" w:cs="Times New Roman"/>
                      <w:sz w:val="21"/>
                      <w:szCs w:val="21"/>
                      <w:lang w:val="en-US" w:eastAsia="zh-CN"/>
                    </w:rPr>
                    <w:t>20.5</w:t>
                  </w:r>
                  <w:r>
                    <w:rPr>
                      <w:rFonts w:hint="default" w:ascii="Times New Roman" w:hAnsi="Times New Roman" w:eastAsia="宋体" w:cs="Times New Roman"/>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759" w:type="pct"/>
                  <w:gridSpan w:val="8"/>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6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第一次</w:t>
                  </w:r>
                </w:p>
              </w:tc>
              <w:tc>
                <w:tcPr>
                  <w:tcW w:w="57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第二次</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第三次</w:t>
                  </w:r>
                </w:p>
              </w:tc>
              <w:tc>
                <w:tcPr>
                  <w:tcW w:w="597"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平均值</w:t>
                  </w:r>
                </w:p>
              </w:tc>
              <w:tc>
                <w:tcPr>
                  <w:tcW w:w="43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p>
              </w:tc>
              <w:tc>
                <w:tcPr>
                  <w:tcW w:w="41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759" w:type="pct"/>
                  <w:gridSpan w:val="8"/>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22860</wp:posOffset>
                            </wp:positionV>
                            <wp:extent cx="1833880" cy="614680"/>
                            <wp:effectExtent l="1270" t="4445" r="8890" b="5715"/>
                            <wp:wrapNone/>
                            <wp:docPr id="2" name="直接箭头连接符 2"/>
                            <wp:cNvGraphicFramePr/>
                            <a:graphic xmlns:a="http://schemas.openxmlformats.org/drawingml/2006/main">
                              <a:graphicData uri="http://schemas.microsoft.com/office/word/2010/wordprocessingShape">
                                <wps:wsp>
                                  <wps:cNvCnPr/>
                                  <wps:spPr>
                                    <a:xfrm>
                                      <a:off x="0" y="0"/>
                                      <a:ext cx="1833880" cy="6146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8.4pt;width:144.4pt;z-index:251661312;mso-width-relative:page;mso-height-relative:page;" filled="f" stroked="t" coordsize="21600,21600" o:gfxdata="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Hpm2AAAAAkBAAAPAAAAAAAAAAEAIAAAACIAAABkcnMvZG93&#10;bnJldi54bWxQSwECFAAUAAAACACHTuJAkCrehAACAADxAwAADgAAAAAAAAABACAAAAAnAQAAZHJz&#10;L2Uyb0RvYy54bWxQSwUGAAAAAAYABgBZAQAAmQUAAAAA&#10;">
                            <v:fill on="f" focussize="0,0"/>
                            <v:stroke color="#000000" joinstyle="round"/>
                            <v:imagedata o:title=""/>
                            <o:lock v:ext="edit" aspectratio="f"/>
                          </v:shape>
                        </w:pict>
                      </mc:Fallback>
                    </mc:AlternateContent>
                  </w:r>
                  <w:r>
                    <w:rPr>
                      <w:rFonts w:hint="default" w:ascii="Times New Roman" w:hAnsi="Times New Roman" w:eastAsia="宋体" w:cs="Times New Roman"/>
                      <w:sz w:val="21"/>
                      <w:szCs w:val="21"/>
                    </w:rPr>
                    <w:t>标干烟气流量（m3/h）</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tLeast"/>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检测项目</w:t>
                  </w:r>
                </w:p>
              </w:tc>
              <w:tc>
                <w:tcPr>
                  <w:tcW w:w="6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11894</w:t>
                  </w:r>
                </w:p>
              </w:tc>
              <w:tc>
                <w:tcPr>
                  <w:tcW w:w="57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12624</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12111</w:t>
                  </w:r>
                </w:p>
              </w:tc>
              <w:tc>
                <w:tcPr>
                  <w:tcW w:w="597"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12210</w:t>
                  </w:r>
                </w:p>
              </w:tc>
              <w:tc>
                <w:tcPr>
                  <w:tcW w:w="43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1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26" w:type="pct"/>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16</w:t>
                  </w:r>
                  <w:r>
                    <w:rPr>
                      <w:rFonts w:hint="default" w:ascii="Times New Roman" w:hAnsi="Times New Roman" w:eastAsia="宋体" w:cs="Times New Roman"/>
                      <w:sz w:val="21"/>
                      <w:szCs w:val="21"/>
                    </w:rPr>
                    <w:t>日</w:t>
                  </w:r>
                </w:p>
              </w:tc>
              <w:tc>
                <w:tcPr>
                  <w:tcW w:w="577" w:type="pct"/>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VOCs（以非甲烷总烃计）</w:t>
                  </w:r>
                </w:p>
              </w:tc>
              <w:tc>
                <w:tcPr>
                  <w:tcW w:w="755"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实测浓度（mg/m3）</w:t>
                  </w:r>
                </w:p>
              </w:tc>
              <w:tc>
                <w:tcPr>
                  <w:tcW w:w="6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1.20</w:t>
                  </w:r>
                </w:p>
              </w:tc>
              <w:tc>
                <w:tcPr>
                  <w:tcW w:w="57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1.25</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1.28</w:t>
                  </w:r>
                </w:p>
              </w:tc>
              <w:tc>
                <w:tcPr>
                  <w:tcW w:w="597"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1.24</w:t>
                  </w:r>
                </w:p>
              </w:tc>
              <w:tc>
                <w:tcPr>
                  <w:tcW w:w="43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120</w:t>
                  </w:r>
                </w:p>
              </w:tc>
              <w:tc>
                <w:tcPr>
                  <w:tcW w:w="41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26" w:type="pct"/>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577" w:type="pct"/>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755"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排放速率</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kg/h</w:t>
                  </w:r>
                  <w:r>
                    <w:rPr>
                      <w:rFonts w:hint="default" w:ascii="Times New Roman" w:hAnsi="Times New Roman" w:eastAsia="宋体" w:cs="Times New Roman"/>
                      <w:sz w:val="21"/>
                      <w:szCs w:val="21"/>
                    </w:rPr>
                    <w:t>）</w:t>
                  </w:r>
                </w:p>
              </w:tc>
              <w:tc>
                <w:tcPr>
                  <w:tcW w:w="6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0.014</w:t>
                  </w:r>
                </w:p>
              </w:tc>
              <w:tc>
                <w:tcPr>
                  <w:tcW w:w="57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0.016</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0.016</w:t>
                  </w:r>
                </w:p>
              </w:tc>
              <w:tc>
                <w:tcPr>
                  <w:tcW w:w="597"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0.015</w:t>
                  </w:r>
                </w:p>
              </w:tc>
              <w:tc>
                <w:tcPr>
                  <w:tcW w:w="43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18.8（1）</w:t>
                  </w:r>
                </w:p>
              </w:tc>
              <w:tc>
                <w:tcPr>
                  <w:tcW w:w="41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95" w:type="pct"/>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2451" w:type="pct"/>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排气筒检测口距地面17.5m处</w:t>
                  </w:r>
                </w:p>
              </w:tc>
              <w:tc>
                <w:tcPr>
                  <w:tcW w:w="1452" w:type="pct"/>
                  <w:gridSpan w:val="8"/>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r>
                    <w:rPr>
                      <w:rFonts w:hint="default" w:ascii="Times New Roman" w:hAnsi="Times New Roman" w:eastAsia="宋体" w:cs="Times New Roman"/>
                      <w:sz w:val="21"/>
                      <w:szCs w:val="21"/>
                      <w:lang w:val="en-US" w:eastAsia="zh-CN"/>
                    </w:rPr>
                    <w:t>20.5</w:t>
                  </w:r>
                  <w:r>
                    <w:rPr>
                      <w:rFonts w:hint="default" w:ascii="Times New Roman" w:hAnsi="Times New Roman" w:eastAsia="宋体" w:cs="Times New Roman"/>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759" w:type="pct"/>
                  <w:gridSpan w:val="8"/>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6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第一次</w:t>
                  </w:r>
                </w:p>
              </w:tc>
              <w:tc>
                <w:tcPr>
                  <w:tcW w:w="57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第二次</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第三次</w:t>
                  </w:r>
                </w:p>
              </w:tc>
              <w:tc>
                <w:tcPr>
                  <w:tcW w:w="597"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平均值</w:t>
                  </w:r>
                </w:p>
              </w:tc>
              <w:tc>
                <w:tcPr>
                  <w:tcW w:w="43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p>
              </w:tc>
              <w:tc>
                <w:tcPr>
                  <w:tcW w:w="41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759" w:type="pct"/>
                  <w:gridSpan w:val="8"/>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62336" behindDoc="0" locked="0" layoutInCell="1" allowOverlap="1">
                            <wp:simplePos x="0" y="0"/>
                            <wp:positionH relativeFrom="column">
                              <wp:posOffset>-79375</wp:posOffset>
                            </wp:positionH>
                            <wp:positionV relativeFrom="paragraph">
                              <wp:posOffset>22860</wp:posOffset>
                            </wp:positionV>
                            <wp:extent cx="1833880" cy="614680"/>
                            <wp:effectExtent l="1270" t="4445" r="8890" b="5715"/>
                            <wp:wrapNone/>
                            <wp:docPr id="3" name="直接箭头连接符 3"/>
                            <wp:cNvGraphicFramePr/>
                            <a:graphic xmlns:a="http://schemas.openxmlformats.org/drawingml/2006/main">
                              <a:graphicData uri="http://schemas.microsoft.com/office/word/2010/wordprocessingShape">
                                <wps:wsp>
                                  <wps:cNvCnPr/>
                                  <wps:spPr>
                                    <a:xfrm>
                                      <a:off x="0" y="0"/>
                                      <a:ext cx="1833880" cy="6146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8.4pt;width:144.4pt;z-index:251662336;mso-width-relative:page;mso-height-relative:page;" filled="f" stroked="t" coordsize="21600,21600" o:gfxdata="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Hpm2AAAAAkBAAAPAAAAAAAAAAEAIAAAACIAAABkcnMvZG93&#10;bnJldi54bWxQSwECFAAUAAAACACHTuJA0yQpbAACAADxAwAADgAAAAAAAAABACAAAAAnAQAAZHJz&#10;L2Uyb0RvYy54bWxQSwUGAAAAAAYABgBZAQAAmQUAAAAA&#10;">
                            <v:fill on="f" focussize="0,0"/>
                            <v:stroke color="#000000" joinstyle="round"/>
                            <v:imagedata o:title=""/>
                            <o:lock v:ext="edit" aspectratio="f"/>
                          </v:shape>
                        </w:pict>
                      </mc:Fallback>
                    </mc:AlternateContent>
                  </w:r>
                  <w:r>
                    <w:rPr>
                      <w:rFonts w:hint="default" w:ascii="Times New Roman" w:hAnsi="Times New Roman" w:eastAsia="宋体" w:cs="Times New Roman"/>
                      <w:sz w:val="21"/>
                      <w:szCs w:val="21"/>
                    </w:rPr>
                    <w:t>标干烟气流量（m3/h）</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tLeast"/>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检测项目</w:t>
                  </w:r>
                </w:p>
              </w:tc>
              <w:tc>
                <w:tcPr>
                  <w:tcW w:w="6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11624</w:t>
                  </w:r>
                </w:p>
              </w:tc>
              <w:tc>
                <w:tcPr>
                  <w:tcW w:w="57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12592</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12176</w:t>
                  </w:r>
                </w:p>
              </w:tc>
              <w:tc>
                <w:tcPr>
                  <w:tcW w:w="597"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12131</w:t>
                  </w:r>
                </w:p>
              </w:tc>
              <w:tc>
                <w:tcPr>
                  <w:tcW w:w="43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1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26" w:type="pct"/>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16</w:t>
                  </w:r>
                  <w:r>
                    <w:rPr>
                      <w:rFonts w:hint="default" w:ascii="Times New Roman" w:hAnsi="Times New Roman" w:eastAsia="宋体" w:cs="Times New Roman"/>
                      <w:sz w:val="21"/>
                      <w:szCs w:val="21"/>
                    </w:rPr>
                    <w:t>日</w:t>
                  </w:r>
                </w:p>
              </w:tc>
              <w:tc>
                <w:tcPr>
                  <w:tcW w:w="577" w:type="pct"/>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VOCs（以非甲烷总烃计）</w:t>
                  </w:r>
                </w:p>
              </w:tc>
              <w:tc>
                <w:tcPr>
                  <w:tcW w:w="755"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实测浓度（mg/m3）</w:t>
                  </w:r>
                </w:p>
              </w:tc>
              <w:tc>
                <w:tcPr>
                  <w:tcW w:w="6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0.70</w:t>
                  </w:r>
                </w:p>
              </w:tc>
              <w:tc>
                <w:tcPr>
                  <w:tcW w:w="57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0.70</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0.68</w:t>
                  </w:r>
                </w:p>
              </w:tc>
              <w:tc>
                <w:tcPr>
                  <w:tcW w:w="597"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0.69</w:t>
                  </w:r>
                </w:p>
              </w:tc>
              <w:tc>
                <w:tcPr>
                  <w:tcW w:w="43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120</w:t>
                  </w:r>
                </w:p>
              </w:tc>
              <w:tc>
                <w:tcPr>
                  <w:tcW w:w="41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26" w:type="pct"/>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577" w:type="pct"/>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755"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排放速率</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kg/h</w:t>
                  </w:r>
                  <w:r>
                    <w:rPr>
                      <w:rFonts w:hint="default" w:ascii="Times New Roman" w:hAnsi="Times New Roman" w:eastAsia="宋体" w:cs="Times New Roman"/>
                      <w:sz w:val="21"/>
                      <w:szCs w:val="21"/>
                    </w:rPr>
                    <w:t>）</w:t>
                  </w:r>
                </w:p>
              </w:tc>
              <w:tc>
                <w:tcPr>
                  <w:tcW w:w="6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0.008</w:t>
                  </w:r>
                </w:p>
              </w:tc>
              <w:tc>
                <w:tcPr>
                  <w:tcW w:w="57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0.009</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0.008</w:t>
                  </w:r>
                </w:p>
              </w:tc>
              <w:tc>
                <w:tcPr>
                  <w:tcW w:w="597"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0.008</w:t>
                  </w:r>
                </w:p>
              </w:tc>
              <w:tc>
                <w:tcPr>
                  <w:tcW w:w="43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18.8（1）</w:t>
                  </w:r>
                </w:p>
              </w:tc>
              <w:tc>
                <w:tcPr>
                  <w:tcW w:w="41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95" w:type="pct"/>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2451" w:type="pct"/>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排气筒检测口距地面18.5m处</w:t>
                  </w:r>
                </w:p>
              </w:tc>
              <w:tc>
                <w:tcPr>
                  <w:tcW w:w="1452" w:type="pct"/>
                  <w:gridSpan w:val="8"/>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r>
                    <w:rPr>
                      <w:rFonts w:hint="default" w:ascii="Times New Roman" w:hAnsi="Times New Roman" w:eastAsia="宋体" w:cs="Times New Roman"/>
                      <w:sz w:val="21"/>
                      <w:szCs w:val="21"/>
                      <w:lang w:val="en-US" w:eastAsia="zh-CN"/>
                    </w:rPr>
                    <w:t>20.5</w:t>
                  </w:r>
                  <w:r>
                    <w:rPr>
                      <w:rFonts w:hint="default" w:ascii="Times New Roman" w:hAnsi="Times New Roman" w:eastAsia="宋体" w:cs="Times New Roman"/>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759" w:type="pct"/>
                  <w:gridSpan w:val="8"/>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6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第一次</w:t>
                  </w:r>
                </w:p>
              </w:tc>
              <w:tc>
                <w:tcPr>
                  <w:tcW w:w="57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第二次</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第三次</w:t>
                  </w:r>
                </w:p>
              </w:tc>
              <w:tc>
                <w:tcPr>
                  <w:tcW w:w="597"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平均值</w:t>
                  </w:r>
                </w:p>
              </w:tc>
              <w:tc>
                <w:tcPr>
                  <w:tcW w:w="43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p>
              </w:tc>
              <w:tc>
                <w:tcPr>
                  <w:tcW w:w="41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759" w:type="pct"/>
                  <w:gridSpan w:val="8"/>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63360" behindDoc="0" locked="0" layoutInCell="1" allowOverlap="1">
                            <wp:simplePos x="0" y="0"/>
                            <wp:positionH relativeFrom="column">
                              <wp:posOffset>-79375</wp:posOffset>
                            </wp:positionH>
                            <wp:positionV relativeFrom="paragraph">
                              <wp:posOffset>22860</wp:posOffset>
                            </wp:positionV>
                            <wp:extent cx="1833880" cy="614680"/>
                            <wp:effectExtent l="1270" t="4445" r="8890" b="5715"/>
                            <wp:wrapNone/>
                            <wp:docPr id="5" name="直接箭头连接符 5"/>
                            <wp:cNvGraphicFramePr/>
                            <a:graphic xmlns:a="http://schemas.openxmlformats.org/drawingml/2006/main">
                              <a:graphicData uri="http://schemas.microsoft.com/office/word/2010/wordprocessingShape">
                                <wps:wsp>
                                  <wps:cNvCnPr/>
                                  <wps:spPr>
                                    <a:xfrm>
                                      <a:off x="0" y="0"/>
                                      <a:ext cx="1833880" cy="6146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8.4pt;width:144.4pt;z-index:251663360;mso-width-relative:page;mso-height-relative:page;" filled="f" stroked="t" coordsize="21600,21600" o:gfxdata="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Hpm2AAAAAkBAAAPAAAAAAAAAAEAIAAAACIAAABkcnMvZG93&#10;bnJldi54bWxQSwECFAAUAAAACACHTuJAmguIcwACAADxAwAADgAAAAAAAAABACAAAAAnAQAAZHJz&#10;L2Uyb0RvYy54bWxQSwUGAAAAAAYABgBZAQAAmQUAAAAA&#10;">
                            <v:fill on="f" focussize="0,0"/>
                            <v:stroke color="#000000" joinstyle="round"/>
                            <v:imagedata o:title=""/>
                            <o:lock v:ext="edit" aspectratio="f"/>
                          </v:shape>
                        </w:pict>
                      </mc:Fallback>
                    </mc:AlternateContent>
                  </w:r>
                  <w:r>
                    <w:rPr>
                      <w:rFonts w:hint="default" w:ascii="Times New Roman" w:hAnsi="Times New Roman" w:eastAsia="宋体" w:cs="Times New Roman"/>
                      <w:sz w:val="21"/>
                      <w:szCs w:val="21"/>
                    </w:rPr>
                    <w:t>标干烟气流量（m3/h）</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after="0" w:line="240" w:lineRule="atLeast"/>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检测项目</w:t>
                  </w:r>
                </w:p>
              </w:tc>
              <w:tc>
                <w:tcPr>
                  <w:tcW w:w="6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11670</w:t>
                  </w:r>
                </w:p>
              </w:tc>
              <w:tc>
                <w:tcPr>
                  <w:tcW w:w="57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12657</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12435</w:t>
                  </w:r>
                </w:p>
              </w:tc>
              <w:tc>
                <w:tcPr>
                  <w:tcW w:w="597"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12254</w:t>
                  </w:r>
                </w:p>
              </w:tc>
              <w:tc>
                <w:tcPr>
                  <w:tcW w:w="43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41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26" w:type="pct"/>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16</w:t>
                  </w:r>
                  <w:r>
                    <w:rPr>
                      <w:rFonts w:hint="default" w:ascii="Times New Roman" w:hAnsi="Times New Roman" w:eastAsia="宋体" w:cs="Times New Roman"/>
                      <w:sz w:val="21"/>
                      <w:szCs w:val="21"/>
                    </w:rPr>
                    <w:t>日</w:t>
                  </w:r>
                </w:p>
              </w:tc>
              <w:tc>
                <w:tcPr>
                  <w:tcW w:w="577" w:type="pct"/>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VOCs（以非甲烷总烃计）</w:t>
                  </w:r>
                </w:p>
              </w:tc>
              <w:tc>
                <w:tcPr>
                  <w:tcW w:w="755"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实测浓度（mg/m3）</w:t>
                  </w:r>
                </w:p>
              </w:tc>
              <w:tc>
                <w:tcPr>
                  <w:tcW w:w="6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0.92</w:t>
                  </w:r>
                </w:p>
              </w:tc>
              <w:tc>
                <w:tcPr>
                  <w:tcW w:w="57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0.89</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0.94</w:t>
                  </w:r>
                </w:p>
              </w:tc>
              <w:tc>
                <w:tcPr>
                  <w:tcW w:w="597"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0.92</w:t>
                  </w:r>
                </w:p>
              </w:tc>
              <w:tc>
                <w:tcPr>
                  <w:tcW w:w="43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120</w:t>
                  </w:r>
                </w:p>
              </w:tc>
              <w:tc>
                <w:tcPr>
                  <w:tcW w:w="41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26" w:type="pct"/>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577" w:type="pct"/>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p>
              </w:tc>
              <w:tc>
                <w:tcPr>
                  <w:tcW w:w="755"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排放速率</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kg/h</w:t>
                  </w:r>
                  <w:r>
                    <w:rPr>
                      <w:rFonts w:hint="default" w:ascii="Times New Roman" w:hAnsi="Times New Roman" w:eastAsia="宋体" w:cs="Times New Roman"/>
                      <w:sz w:val="21"/>
                      <w:szCs w:val="21"/>
                    </w:rPr>
                    <w:t>）</w:t>
                  </w:r>
                </w:p>
              </w:tc>
              <w:tc>
                <w:tcPr>
                  <w:tcW w:w="62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0.011</w:t>
                  </w:r>
                </w:p>
              </w:tc>
              <w:tc>
                <w:tcPr>
                  <w:tcW w:w="57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0.011</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0.012</w:t>
                  </w:r>
                </w:p>
              </w:tc>
              <w:tc>
                <w:tcPr>
                  <w:tcW w:w="597"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0.011</w:t>
                  </w:r>
                </w:p>
              </w:tc>
              <w:tc>
                <w:tcPr>
                  <w:tcW w:w="43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18.8（1）</w:t>
                  </w:r>
                </w:p>
              </w:tc>
              <w:tc>
                <w:tcPr>
                  <w:tcW w:w="41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4" w:type="pct"/>
                <w:wAfter w:w="7" w:type="pct"/>
                <w:trHeight w:val="455" w:hRule="atLeast"/>
                <w:jc w:val="center"/>
              </w:trPr>
              <w:tc>
                <w:tcPr>
                  <w:tcW w:w="1122" w:type="pct"/>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2433" w:type="pct"/>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5#、6#等效排气筒视为5#’排气筒</w:t>
                  </w:r>
                </w:p>
              </w:tc>
              <w:tc>
                <w:tcPr>
                  <w:tcW w:w="1431" w:type="pct"/>
                  <w:gridSpan w:val="6"/>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等效</w:t>
                  </w:r>
                  <w:r>
                    <w:rPr>
                      <w:rFonts w:hint="default" w:ascii="Times New Roman" w:hAnsi="Times New Roman" w:eastAsia="宋体" w:cs="Times New Roman"/>
                      <w:sz w:val="21"/>
                      <w:szCs w:val="21"/>
                    </w:rPr>
                    <w:t>排气筒高度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2）（3）20.5</w:t>
                  </w:r>
                  <w:r>
                    <w:rPr>
                      <w:rFonts w:hint="default" w:ascii="Times New Roman" w:hAnsi="Times New Roman" w:eastAsia="宋体" w:cs="Times New Roman"/>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4" w:type="pct"/>
                <w:wAfter w:w="7" w:type="pct"/>
                <w:trHeight w:val="511" w:hRule="atLeast"/>
                <w:jc w:val="center"/>
              </w:trPr>
              <w:tc>
                <w:tcPr>
                  <w:tcW w:w="1775" w:type="pct"/>
                  <w:gridSpan w:val="8"/>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59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第一次</w:t>
                  </w:r>
                </w:p>
              </w:tc>
              <w:tc>
                <w:tcPr>
                  <w:tcW w:w="636"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第二次</w:t>
                  </w:r>
                </w:p>
              </w:tc>
              <w:tc>
                <w:tcPr>
                  <w:tcW w:w="558"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第三次</w:t>
                  </w:r>
                </w:p>
              </w:tc>
              <w:tc>
                <w:tcPr>
                  <w:tcW w:w="55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平均值</w:t>
                  </w:r>
                </w:p>
              </w:tc>
              <w:tc>
                <w:tcPr>
                  <w:tcW w:w="47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p>
              </w:tc>
              <w:tc>
                <w:tcPr>
                  <w:tcW w:w="39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4" w:type="pct"/>
                <w:wAfter w:w="7" w:type="pct"/>
                <w:trHeight w:val="511" w:hRule="atLeast"/>
                <w:jc w:val="center"/>
              </w:trPr>
              <w:tc>
                <w:tcPr>
                  <w:tcW w:w="558"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202</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16</w:t>
                  </w:r>
                  <w:r>
                    <w:rPr>
                      <w:rFonts w:hint="default" w:ascii="Times New Roman" w:hAnsi="Times New Roman" w:eastAsia="宋体" w:cs="Times New Roman"/>
                      <w:sz w:val="21"/>
                      <w:szCs w:val="21"/>
                    </w:rPr>
                    <w:t>日</w:t>
                  </w:r>
                </w:p>
              </w:tc>
              <w:tc>
                <w:tcPr>
                  <w:tcW w:w="620"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VOCs（以非甲烷总烃计）</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（kg/h）</w:t>
                  </w:r>
                </w:p>
              </w:tc>
              <w:tc>
                <w:tcPr>
                  <w:tcW w:w="59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0.022</w:t>
                  </w:r>
                </w:p>
              </w:tc>
              <w:tc>
                <w:tcPr>
                  <w:tcW w:w="636"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0.025</w:t>
                  </w:r>
                </w:p>
              </w:tc>
              <w:tc>
                <w:tcPr>
                  <w:tcW w:w="558"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0.023</w:t>
                  </w:r>
                </w:p>
              </w:tc>
              <w:tc>
                <w:tcPr>
                  <w:tcW w:w="55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0.023</w:t>
                  </w:r>
                </w:p>
              </w:tc>
              <w:tc>
                <w:tcPr>
                  <w:tcW w:w="47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18.8（1）</w:t>
                  </w:r>
                </w:p>
              </w:tc>
              <w:tc>
                <w:tcPr>
                  <w:tcW w:w="39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4" w:type="pct"/>
                <w:wAfter w:w="7" w:type="pct"/>
                <w:trHeight w:val="455" w:hRule="atLeast"/>
                <w:jc w:val="center"/>
              </w:trPr>
              <w:tc>
                <w:tcPr>
                  <w:tcW w:w="1122" w:type="pct"/>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检测点位</w:t>
                  </w:r>
                </w:p>
              </w:tc>
              <w:tc>
                <w:tcPr>
                  <w:tcW w:w="2433" w:type="pct"/>
                  <w:gridSpan w:val="9"/>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5#’排气筒、7#等效排气筒</w:t>
                  </w:r>
                </w:p>
              </w:tc>
              <w:tc>
                <w:tcPr>
                  <w:tcW w:w="1431" w:type="pct"/>
                  <w:gridSpan w:val="6"/>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等效</w:t>
                  </w:r>
                  <w:r>
                    <w:rPr>
                      <w:rFonts w:hint="default" w:ascii="Times New Roman" w:hAnsi="Times New Roman" w:eastAsia="宋体" w:cs="Times New Roman"/>
                      <w:sz w:val="21"/>
                      <w:szCs w:val="21"/>
                    </w:rPr>
                    <w:t>排气筒高度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2）（3）20.5</w:t>
                  </w:r>
                  <w:r>
                    <w:rPr>
                      <w:rFonts w:hint="default" w:ascii="Times New Roman" w:hAnsi="Times New Roman" w:eastAsia="宋体" w:cs="Times New Roman"/>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4" w:type="pct"/>
                <w:wAfter w:w="7" w:type="pct"/>
                <w:trHeight w:val="511" w:hRule="atLeast"/>
                <w:jc w:val="center"/>
              </w:trPr>
              <w:tc>
                <w:tcPr>
                  <w:tcW w:w="1775" w:type="pct"/>
                  <w:gridSpan w:val="8"/>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检测频次</w:t>
                  </w:r>
                </w:p>
              </w:tc>
              <w:tc>
                <w:tcPr>
                  <w:tcW w:w="59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第一次</w:t>
                  </w:r>
                </w:p>
              </w:tc>
              <w:tc>
                <w:tcPr>
                  <w:tcW w:w="636"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第二次</w:t>
                  </w:r>
                </w:p>
              </w:tc>
              <w:tc>
                <w:tcPr>
                  <w:tcW w:w="558"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第三次</w:t>
                  </w:r>
                </w:p>
              </w:tc>
              <w:tc>
                <w:tcPr>
                  <w:tcW w:w="55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平均值</w:t>
                  </w:r>
                </w:p>
              </w:tc>
              <w:tc>
                <w:tcPr>
                  <w:tcW w:w="47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限值</w:t>
                  </w:r>
                </w:p>
              </w:tc>
              <w:tc>
                <w:tcPr>
                  <w:tcW w:w="39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4" w:type="pct"/>
                <w:wAfter w:w="7" w:type="pct"/>
                <w:trHeight w:val="511" w:hRule="atLeast"/>
                <w:jc w:val="center"/>
              </w:trPr>
              <w:tc>
                <w:tcPr>
                  <w:tcW w:w="558"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202</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11</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16</w:t>
                  </w:r>
                  <w:r>
                    <w:rPr>
                      <w:rFonts w:hint="default" w:ascii="Times New Roman" w:hAnsi="Times New Roman" w:eastAsia="宋体" w:cs="Times New Roman"/>
                      <w:sz w:val="21"/>
                      <w:szCs w:val="21"/>
                    </w:rPr>
                    <w:t>日</w:t>
                  </w:r>
                </w:p>
              </w:tc>
              <w:tc>
                <w:tcPr>
                  <w:tcW w:w="620"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VOCs（以非甲烷总烃计）</w:t>
                  </w:r>
                </w:p>
              </w:tc>
              <w:tc>
                <w:tcPr>
                  <w:tcW w:w="59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（kg/h）</w:t>
                  </w:r>
                </w:p>
              </w:tc>
              <w:tc>
                <w:tcPr>
                  <w:tcW w:w="590"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0.033</w:t>
                  </w:r>
                </w:p>
              </w:tc>
              <w:tc>
                <w:tcPr>
                  <w:tcW w:w="636"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0.036</w:t>
                  </w:r>
                </w:p>
              </w:tc>
              <w:tc>
                <w:tcPr>
                  <w:tcW w:w="558"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0.035</w:t>
                  </w:r>
                </w:p>
              </w:tc>
              <w:tc>
                <w:tcPr>
                  <w:tcW w:w="55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0.035</w:t>
                  </w:r>
                </w:p>
              </w:tc>
              <w:tc>
                <w:tcPr>
                  <w:tcW w:w="471"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18.8（1）</w:t>
                  </w:r>
                </w:p>
              </w:tc>
              <w:tc>
                <w:tcPr>
                  <w:tcW w:w="398"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bl>
          <w:tbl>
            <w:tblPr>
              <w:tblStyle w:val="24"/>
              <w:tblpPr w:leftFromText="180" w:rightFromText="180" w:vertAnchor="text" w:horzAnchor="page" w:tblpXSpec="center" w:tblpY="604"/>
              <w:tblOverlap w:val="never"/>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1054"/>
              <w:gridCol w:w="137"/>
              <w:gridCol w:w="1157"/>
              <w:gridCol w:w="1132"/>
              <w:gridCol w:w="1042"/>
              <w:gridCol w:w="1089"/>
              <w:gridCol w:w="1089"/>
              <w:gridCol w:w="794"/>
              <w:gridCol w:w="7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88"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检测点位</w:t>
                  </w:r>
                </w:p>
              </w:tc>
              <w:tc>
                <w:tcPr>
                  <w:tcW w:w="2444"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color w:val="FF0000"/>
                      <w:sz w:val="21"/>
                      <w:szCs w:val="21"/>
                      <w:highlight w:val="none"/>
                    </w:rPr>
                  </w:pPr>
                  <w:r>
                    <w:rPr>
                      <w:rFonts w:hint="default" w:ascii="Times New Roman" w:hAnsi="Times New Roman" w:eastAsia="宋体" w:cs="Times New Roman"/>
                      <w:b w:val="0"/>
                      <w:bCs/>
                      <w:sz w:val="21"/>
                      <w:szCs w:val="21"/>
                      <w:highlight w:val="none"/>
                      <w:lang w:val="en-US" w:eastAsia="zh-CN"/>
                    </w:rPr>
                    <w:t>5</w:t>
                  </w:r>
                  <w:r>
                    <w:rPr>
                      <w:rFonts w:hint="default" w:ascii="Times New Roman" w:hAnsi="Times New Roman" w:eastAsia="宋体" w:cs="Times New Roman"/>
                      <w:b w:val="0"/>
                      <w:bCs/>
                      <w:sz w:val="21"/>
                      <w:szCs w:val="21"/>
                      <w:highlight w:val="none"/>
                    </w:rPr>
                    <w:t>#：</w:t>
                  </w:r>
                  <w:r>
                    <w:rPr>
                      <w:rFonts w:hint="default" w:ascii="Times New Roman" w:hAnsi="Times New Roman" w:eastAsia="宋体" w:cs="Times New Roman"/>
                      <w:b w:val="0"/>
                      <w:bCs/>
                      <w:sz w:val="21"/>
                      <w:szCs w:val="21"/>
                      <w:highlight w:val="none"/>
                      <w:lang w:val="en-US" w:eastAsia="zh-CN"/>
                    </w:rPr>
                    <w:t>排气筒检测口距地面18.5m处</w:t>
                  </w:r>
                </w:p>
              </w:tc>
              <w:tc>
                <w:tcPr>
                  <w:tcW w:w="1466"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排气筒高度</w:t>
                  </w:r>
                  <w:r>
                    <w:rPr>
                      <w:rFonts w:hint="default" w:ascii="Times New Roman" w:hAnsi="Times New Roman" w:eastAsia="宋体" w:cs="Times New Roman"/>
                      <w:b w:val="0"/>
                      <w:bCs/>
                      <w:sz w:val="21"/>
                      <w:szCs w:val="21"/>
                      <w:highlight w:val="none"/>
                      <w:lang w:val="en-US" w:eastAsia="zh-CN"/>
                    </w:rPr>
                    <w:t>20.5</w:t>
                  </w:r>
                  <w:r>
                    <w:rPr>
                      <w:rFonts w:hint="default" w:ascii="Times New Roman" w:hAnsi="Times New Roman" w:eastAsia="宋体" w:cs="Times New Roman"/>
                      <w:b w:val="0"/>
                      <w:bCs/>
                      <w:sz w:val="21"/>
                      <w:szCs w:val="21"/>
                      <w:highlight w:val="none"/>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28"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检测频次</w:t>
                  </w:r>
                </w:p>
              </w:tc>
              <w:tc>
                <w:tcPr>
                  <w:tcW w:w="62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bidi="ar"/>
                    </w:rPr>
                  </w:pPr>
                  <w:r>
                    <w:rPr>
                      <w:rFonts w:hint="default" w:ascii="Times New Roman" w:hAnsi="Times New Roman" w:eastAsia="宋体" w:cs="Times New Roman"/>
                      <w:b w:val="0"/>
                      <w:bCs/>
                      <w:color w:val="000000"/>
                      <w:kern w:val="0"/>
                      <w:sz w:val="21"/>
                      <w:szCs w:val="21"/>
                      <w:highlight w:val="none"/>
                      <w:lang w:val="en-US" w:eastAsia="zh-CN" w:bidi="ar"/>
                    </w:rPr>
                    <w:t>第一次</w:t>
                  </w:r>
                </w:p>
              </w:tc>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第二次</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第三次</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平均值</w:t>
                  </w:r>
                </w:p>
              </w:tc>
              <w:tc>
                <w:tcPr>
                  <w:tcW w:w="439"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限值</w:t>
                  </w:r>
                </w:p>
              </w:tc>
              <w:tc>
                <w:tcPr>
                  <w:tcW w:w="424"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728"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firstLine="420" w:firstLineChars="200"/>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kern w:val="0"/>
                      <w:sz w:val="21"/>
                      <w:szCs w:val="21"/>
                      <w:highlight w:val="none"/>
                    </w:rPr>
                    <mc:AlternateContent>
                      <mc:Choice Requires="wps">
                        <w:drawing>
                          <wp:anchor distT="0" distB="0" distL="114300" distR="114300" simplePos="0" relativeHeight="251664384" behindDoc="0" locked="0" layoutInCell="1" allowOverlap="1">
                            <wp:simplePos x="0" y="0"/>
                            <wp:positionH relativeFrom="column">
                              <wp:posOffset>-79375</wp:posOffset>
                            </wp:positionH>
                            <wp:positionV relativeFrom="paragraph">
                              <wp:posOffset>22860</wp:posOffset>
                            </wp:positionV>
                            <wp:extent cx="1833880" cy="614680"/>
                            <wp:effectExtent l="1270" t="4445" r="8890" b="5715"/>
                            <wp:wrapNone/>
                            <wp:docPr id="14" name="直接箭头连接符 14"/>
                            <wp:cNvGraphicFramePr/>
                            <a:graphic xmlns:a="http://schemas.openxmlformats.org/drawingml/2006/main">
                              <a:graphicData uri="http://schemas.microsoft.com/office/word/2010/wordprocessingShape">
                                <wps:wsp>
                                  <wps:cNvCnPr/>
                                  <wps:spPr>
                                    <a:xfrm>
                                      <a:off x="0" y="0"/>
                                      <a:ext cx="1833880" cy="6146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8.4pt;width:144.4pt;z-index:251664384;mso-width-relative:page;mso-height-relative:page;" filled="f" stroked="t" coordsize="21600,21600" o:gfxdata="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f8embYAAAACQEAAA8AAAAAAAAAAQAgAAAAIgAAAGRycy9k&#10;b3ducmV2LnhtbFBLAQIUABQAAAAIAIdO4kANi0AHAgIAAPMDAAAOAAAAAAAAAAEAIAAAACcBAABk&#10;cnMvZTJvRG9jLnhtbFBLBQYAAAAABgAGAFkBAACbBQAAAAA=&#10;">
                            <v:fill on="f" focussize="0,0"/>
                            <v:stroke color="#000000" joinstyle="round"/>
                            <v:imagedata o:title=""/>
                            <o:lock v:ext="edit" aspectratio="f"/>
                          </v:shape>
                        </w:pict>
                      </mc:Fallback>
                    </mc:AlternateContent>
                  </w:r>
                  <w:r>
                    <w:rPr>
                      <w:rFonts w:hint="default" w:ascii="Times New Roman" w:hAnsi="Times New Roman" w:eastAsia="宋体" w:cs="Times New Roman"/>
                      <w:b w:val="0"/>
                      <w:bCs/>
                      <w:kern w:val="0"/>
                      <w:sz w:val="21"/>
                      <w:szCs w:val="21"/>
                      <w:highlight w:val="none"/>
                    </w:rPr>
                    <w:t>标干烟气流量（m</w:t>
                  </w:r>
                  <w:r>
                    <w:rPr>
                      <w:rFonts w:hint="default" w:ascii="Times New Roman" w:hAnsi="Times New Roman" w:eastAsia="宋体" w:cs="Times New Roman"/>
                      <w:b w:val="0"/>
                      <w:bCs/>
                      <w:kern w:val="0"/>
                      <w:sz w:val="21"/>
                      <w:szCs w:val="21"/>
                      <w:highlight w:val="none"/>
                      <w:vertAlign w:val="superscript"/>
                    </w:rPr>
                    <w:t>3</w:t>
                  </w:r>
                  <w:r>
                    <w:rPr>
                      <w:rFonts w:hint="default" w:ascii="Times New Roman" w:hAnsi="Times New Roman" w:eastAsia="宋体" w:cs="Times New Roman"/>
                      <w:b w:val="0"/>
                      <w:bCs/>
                      <w:kern w:val="0"/>
                      <w:sz w:val="21"/>
                      <w:szCs w:val="21"/>
                      <w:highlight w:val="none"/>
                    </w:rPr>
                    <w:t>/h）</w:t>
                  </w:r>
                </w:p>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240" w:lineRule="atLeast"/>
                    <w:jc w:val="both"/>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检测项目</w:t>
                  </w:r>
                </w:p>
              </w:tc>
              <w:tc>
                <w:tcPr>
                  <w:tcW w:w="62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11708</w:t>
                  </w:r>
                </w:p>
              </w:tc>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12754</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12530</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12331</w:t>
                  </w:r>
                </w:p>
              </w:tc>
              <w:tc>
                <w:tcPr>
                  <w:tcW w:w="439"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w:t>
                  </w:r>
                </w:p>
              </w:tc>
              <w:tc>
                <w:tcPr>
                  <w:tcW w:w="424"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2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20</w:t>
                  </w:r>
                  <w:r>
                    <w:rPr>
                      <w:rFonts w:hint="default" w:ascii="Times New Roman" w:hAnsi="Times New Roman" w:eastAsia="宋体" w:cs="Times New Roman"/>
                      <w:b w:val="0"/>
                      <w:bCs/>
                      <w:sz w:val="21"/>
                      <w:szCs w:val="21"/>
                      <w:highlight w:val="none"/>
                      <w:lang w:val="en-US" w:eastAsia="zh-CN"/>
                    </w:rPr>
                    <w:t>21</w:t>
                  </w:r>
                  <w:r>
                    <w:rPr>
                      <w:rFonts w:hint="default" w:ascii="Times New Roman" w:hAnsi="Times New Roman" w:eastAsia="宋体" w:cs="Times New Roman"/>
                      <w:b w:val="0"/>
                      <w:bCs/>
                      <w:sz w:val="21"/>
                      <w:szCs w:val="21"/>
                      <w:highlight w:val="none"/>
                    </w:rPr>
                    <w:t>年</w:t>
                  </w:r>
                  <w:r>
                    <w:rPr>
                      <w:rFonts w:hint="default" w:ascii="Times New Roman" w:hAnsi="Times New Roman" w:eastAsia="宋体" w:cs="Times New Roman"/>
                      <w:b w:val="0"/>
                      <w:bCs/>
                      <w:sz w:val="21"/>
                      <w:szCs w:val="21"/>
                      <w:highlight w:val="none"/>
                      <w:lang w:val="en-US" w:eastAsia="zh-CN"/>
                    </w:rPr>
                    <w:t>11</w:t>
                  </w:r>
                  <w:r>
                    <w:rPr>
                      <w:rFonts w:hint="default" w:ascii="Times New Roman" w:hAnsi="Times New Roman" w:eastAsia="宋体" w:cs="Times New Roman"/>
                      <w:b w:val="0"/>
                      <w:bCs/>
                      <w:sz w:val="21"/>
                      <w:szCs w:val="21"/>
                      <w:highlight w:val="none"/>
                    </w:rPr>
                    <w:t>月</w:t>
                  </w:r>
                  <w:r>
                    <w:rPr>
                      <w:rFonts w:hint="default" w:ascii="Times New Roman" w:hAnsi="Times New Roman" w:eastAsia="宋体" w:cs="Times New Roman"/>
                      <w:b w:val="0"/>
                      <w:bCs/>
                      <w:sz w:val="21"/>
                      <w:szCs w:val="21"/>
                      <w:highlight w:val="none"/>
                      <w:lang w:val="en-US" w:eastAsia="zh-CN"/>
                    </w:rPr>
                    <w:t>17</w:t>
                  </w:r>
                  <w:r>
                    <w:rPr>
                      <w:rFonts w:hint="default" w:ascii="Times New Roman" w:hAnsi="Times New Roman" w:eastAsia="宋体" w:cs="Times New Roman"/>
                      <w:b w:val="0"/>
                      <w:bCs/>
                      <w:sz w:val="21"/>
                      <w:szCs w:val="21"/>
                      <w:highlight w:val="none"/>
                    </w:rPr>
                    <w:t>日</w:t>
                  </w:r>
                </w:p>
              </w:tc>
              <w:tc>
                <w:tcPr>
                  <w:tcW w:w="5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color w:val="auto"/>
                      <w:sz w:val="21"/>
                      <w:szCs w:val="21"/>
                      <w:highlight w:val="none"/>
                      <w:lang w:val="en-US" w:eastAsia="zh-CN"/>
                    </w:rPr>
                    <w:t>VOCs（以非甲烷总烃计）</w:t>
                  </w:r>
                </w:p>
              </w:tc>
              <w:tc>
                <w:tcPr>
                  <w:tcW w:w="715"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实测浓度（mg/m</w:t>
                  </w:r>
                  <w:r>
                    <w:rPr>
                      <w:rFonts w:hint="default" w:ascii="Times New Roman" w:hAnsi="Times New Roman" w:eastAsia="宋体" w:cs="Times New Roman"/>
                      <w:b w:val="0"/>
                      <w:bCs/>
                      <w:sz w:val="21"/>
                      <w:szCs w:val="21"/>
                      <w:highlight w:val="none"/>
                      <w:vertAlign w:val="superscript"/>
                    </w:rPr>
                    <w:t>3</w:t>
                  </w:r>
                  <w:r>
                    <w:rPr>
                      <w:rFonts w:hint="default" w:ascii="Times New Roman" w:hAnsi="Times New Roman" w:eastAsia="宋体" w:cs="Times New Roman"/>
                      <w:b w:val="0"/>
                      <w:bCs/>
                      <w:sz w:val="21"/>
                      <w:szCs w:val="21"/>
                      <w:highlight w:val="none"/>
                    </w:rPr>
                    <w:t>）</w:t>
                  </w:r>
                </w:p>
              </w:tc>
              <w:tc>
                <w:tcPr>
                  <w:tcW w:w="62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1.15</w:t>
                  </w:r>
                </w:p>
              </w:tc>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1.11</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1.09</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1.12</w:t>
                  </w:r>
                </w:p>
              </w:tc>
              <w:tc>
                <w:tcPr>
                  <w:tcW w:w="439"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120</w:t>
                  </w:r>
                </w:p>
              </w:tc>
              <w:tc>
                <w:tcPr>
                  <w:tcW w:w="424"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2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color w:val="FF0000"/>
                      <w:sz w:val="21"/>
                      <w:szCs w:val="21"/>
                      <w:highlight w:val="none"/>
                    </w:rPr>
                  </w:pPr>
                </w:p>
              </w:tc>
              <w:tc>
                <w:tcPr>
                  <w:tcW w:w="5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p>
              </w:tc>
              <w:tc>
                <w:tcPr>
                  <w:tcW w:w="715"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lang w:val="en-US" w:eastAsia="zh-CN"/>
                    </w:rPr>
                    <w:t>排放速率</w:t>
                  </w:r>
                  <w:r>
                    <w:rPr>
                      <w:rFonts w:hint="default" w:ascii="Times New Roman" w:hAnsi="Times New Roman" w:eastAsia="宋体" w:cs="Times New Roman"/>
                      <w:b w:val="0"/>
                      <w:bCs/>
                      <w:sz w:val="21"/>
                      <w:szCs w:val="21"/>
                      <w:highlight w:val="none"/>
                    </w:rPr>
                    <w:t>（</w:t>
                  </w:r>
                  <w:r>
                    <w:rPr>
                      <w:rFonts w:hint="default" w:ascii="Times New Roman" w:hAnsi="Times New Roman" w:eastAsia="宋体" w:cs="Times New Roman"/>
                      <w:b w:val="0"/>
                      <w:bCs/>
                      <w:sz w:val="21"/>
                      <w:szCs w:val="21"/>
                      <w:highlight w:val="none"/>
                      <w:lang w:val="en-US" w:eastAsia="zh-CN"/>
                    </w:rPr>
                    <w:t>kg/h</w:t>
                  </w:r>
                  <w:r>
                    <w:rPr>
                      <w:rFonts w:hint="default" w:ascii="Times New Roman" w:hAnsi="Times New Roman" w:eastAsia="宋体" w:cs="Times New Roman"/>
                      <w:b w:val="0"/>
                      <w:bCs/>
                      <w:sz w:val="21"/>
                      <w:szCs w:val="21"/>
                      <w:highlight w:val="none"/>
                    </w:rPr>
                    <w:t>）</w:t>
                  </w:r>
                </w:p>
              </w:tc>
              <w:tc>
                <w:tcPr>
                  <w:tcW w:w="62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0.013</w:t>
                  </w:r>
                </w:p>
              </w:tc>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0.014</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0.014</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0.014</w:t>
                  </w:r>
                </w:p>
              </w:tc>
              <w:tc>
                <w:tcPr>
                  <w:tcW w:w="439"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18.8</w:t>
                  </w:r>
                  <w:r>
                    <w:rPr>
                      <w:rFonts w:hint="default" w:ascii="Times New Roman" w:hAnsi="Times New Roman" w:eastAsia="宋体" w:cs="Times New Roman"/>
                      <w:b w:val="0"/>
                      <w:bCs/>
                      <w:color w:val="000000"/>
                      <w:kern w:val="0"/>
                      <w:sz w:val="21"/>
                      <w:szCs w:val="21"/>
                      <w:highlight w:val="none"/>
                      <w:vertAlign w:val="superscript"/>
                      <w:lang w:val="en-US" w:eastAsia="zh-CN" w:bidi="ar"/>
                    </w:rPr>
                    <w:t>（1）</w:t>
                  </w:r>
                </w:p>
              </w:tc>
              <w:tc>
                <w:tcPr>
                  <w:tcW w:w="424"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88"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检测点位</w:t>
                  </w:r>
                </w:p>
              </w:tc>
              <w:tc>
                <w:tcPr>
                  <w:tcW w:w="2444"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color w:val="FF0000"/>
                      <w:sz w:val="21"/>
                      <w:szCs w:val="21"/>
                      <w:highlight w:val="none"/>
                    </w:rPr>
                  </w:pPr>
                  <w:r>
                    <w:rPr>
                      <w:rFonts w:hint="default" w:ascii="Times New Roman" w:hAnsi="Times New Roman" w:eastAsia="宋体" w:cs="Times New Roman"/>
                      <w:b w:val="0"/>
                      <w:bCs/>
                      <w:sz w:val="21"/>
                      <w:szCs w:val="21"/>
                      <w:highlight w:val="none"/>
                      <w:lang w:val="en-US" w:eastAsia="zh-CN"/>
                    </w:rPr>
                    <w:t>6</w:t>
                  </w:r>
                  <w:r>
                    <w:rPr>
                      <w:rFonts w:hint="default" w:ascii="Times New Roman" w:hAnsi="Times New Roman" w:eastAsia="宋体" w:cs="Times New Roman"/>
                      <w:b w:val="0"/>
                      <w:bCs/>
                      <w:sz w:val="21"/>
                      <w:szCs w:val="21"/>
                      <w:highlight w:val="none"/>
                    </w:rPr>
                    <w:t>#：</w:t>
                  </w:r>
                  <w:r>
                    <w:rPr>
                      <w:rFonts w:hint="default" w:ascii="Times New Roman" w:hAnsi="Times New Roman" w:eastAsia="宋体" w:cs="Times New Roman"/>
                      <w:b w:val="0"/>
                      <w:bCs/>
                      <w:sz w:val="21"/>
                      <w:szCs w:val="21"/>
                      <w:highlight w:val="none"/>
                      <w:lang w:val="en-US" w:eastAsia="zh-CN"/>
                    </w:rPr>
                    <w:t>排气筒检测口距地面17.5m处</w:t>
                  </w:r>
                </w:p>
              </w:tc>
              <w:tc>
                <w:tcPr>
                  <w:tcW w:w="1466"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排气筒高度</w:t>
                  </w:r>
                  <w:r>
                    <w:rPr>
                      <w:rFonts w:hint="default" w:ascii="Times New Roman" w:hAnsi="Times New Roman" w:eastAsia="宋体" w:cs="Times New Roman"/>
                      <w:b w:val="0"/>
                      <w:bCs/>
                      <w:sz w:val="21"/>
                      <w:szCs w:val="21"/>
                      <w:highlight w:val="none"/>
                      <w:lang w:val="en-US" w:eastAsia="zh-CN"/>
                    </w:rPr>
                    <w:t>20.5</w:t>
                  </w:r>
                  <w:r>
                    <w:rPr>
                      <w:rFonts w:hint="default" w:ascii="Times New Roman" w:hAnsi="Times New Roman" w:eastAsia="宋体" w:cs="Times New Roman"/>
                      <w:b w:val="0"/>
                      <w:bCs/>
                      <w:sz w:val="21"/>
                      <w:szCs w:val="21"/>
                      <w:highlight w:val="none"/>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28"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检测频次</w:t>
                  </w:r>
                </w:p>
              </w:tc>
              <w:tc>
                <w:tcPr>
                  <w:tcW w:w="62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bidi="ar"/>
                    </w:rPr>
                  </w:pPr>
                  <w:r>
                    <w:rPr>
                      <w:rFonts w:hint="default" w:ascii="Times New Roman" w:hAnsi="Times New Roman" w:eastAsia="宋体" w:cs="Times New Roman"/>
                      <w:b w:val="0"/>
                      <w:bCs/>
                      <w:color w:val="000000"/>
                      <w:kern w:val="0"/>
                      <w:sz w:val="21"/>
                      <w:szCs w:val="21"/>
                      <w:highlight w:val="none"/>
                      <w:lang w:val="en-US" w:eastAsia="zh-CN" w:bidi="ar"/>
                    </w:rPr>
                    <w:t>第一次</w:t>
                  </w:r>
                </w:p>
              </w:tc>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第二次</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第三次</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平均值</w:t>
                  </w:r>
                </w:p>
              </w:tc>
              <w:tc>
                <w:tcPr>
                  <w:tcW w:w="439"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限值</w:t>
                  </w:r>
                </w:p>
              </w:tc>
              <w:tc>
                <w:tcPr>
                  <w:tcW w:w="424"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728"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firstLine="420" w:firstLineChars="200"/>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kern w:val="0"/>
                      <w:sz w:val="21"/>
                      <w:szCs w:val="21"/>
                      <w:highlight w:val="none"/>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22860</wp:posOffset>
                            </wp:positionV>
                            <wp:extent cx="1833880" cy="614680"/>
                            <wp:effectExtent l="1270" t="4445" r="8890" b="5715"/>
                            <wp:wrapNone/>
                            <wp:docPr id="15" name="直接箭头连接符 15"/>
                            <wp:cNvGraphicFramePr/>
                            <a:graphic xmlns:a="http://schemas.openxmlformats.org/drawingml/2006/main">
                              <a:graphicData uri="http://schemas.microsoft.com/office/word/2010/wordprocessingShape">
                                <wps:wsp>
                                  <wps:cNvCnPr/>
                                  <wps:spPr>
                                    <a:xfrm>
                                      <a:off x="0" y="0"/>
                                      <a:ext cx="1833880" cy="6146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8.4pt;width:144.4pt;z-index:251665408;mso-width-relative:page;mso-height-relative:page;" filled="f" stroked="t" coordsize="21600,21600" o:gfxdata="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x6ZtgAAAAJAQAADwAAAAAAAAABACAAAAAiAAAAZHJzL2Rv&#10;d25yZXYueG1sUEsBAhQAFAAAAAgAh07iQBqzz34BAgAA8wMAAA4AAAAAAAAAAQAgAAAAJwEAAGRy&#10;cy9lMm9Eb2MueG1sUEsFBgAAAAAGAAYAWQEAAJoFAAAAAA==&#10;">
                            <v:fill on="f" focussize="0,0"/>
                            <v:stroke color="#000000" joinstyle="round"/>
                            <v:imagedata o:title=""/>
                            <o:lock v:ext="edit" aspectratio="f"/>
                          </v:shape>
                        </w:pict>
                      </mc:Fallback>
                    </mc:AlternateContent>
                  </w:r>
                  <w:r>
                    <w:rPr>
                      <w:rFonts w:hint="default" w:ascii="Times New Roman" w:hAnsi="Times New Roman" w:eastAsia="宋体" w:cs="Times New Roman"/>
                      <w:b w:val="0"/>
                      <w:bCs/>
                      <w:kern w:val="0"/>
                      <w:sz w:val="21"/>
                      <w:szCs w:val="21"/>
                      <w:highlight w:val="none"/>
                    </w:rPr>
                    <w:t>标干烟气流量（m</w:t>
                  </w:r>
                  <w:r>
                    <w:rPr>
                      <w:rFonts w:hint="default" w:ascii="Times New Roman" w:hAnsi="Times New Roman" w:eastAsia="宋体" w:cs="Times New Roman"/>
                      <w:b w:val="0"/>
                      <w:bCs/>
                      <w:kern w:val="0"/>
                      <w:sz w:val="21"/>
                      <w:szCs w:val="21"/>
                      <w:highlight w:val="none"/>
                      <w:vertAlign w:val="superscript"/>
                    </w:rPr>
                    <w:t>3</w:t>
                  </w:r>
                  <w:r>
                    <w:rPr>
                      <w:rFonts w:hint="default" w:ascii="Times New Roman" w:hAnsi="Times New Roman" w:eastAsia="宋体" w:cs="Times New Roman"/>
                      <w:b w:val="0"/>
                      <w:bCs/>
                      <w:kern w:val="0"/>
                      <w:sz w:val="21"/>
                      <w:szCs w:val="21"/>
                      <w:highlight w:val="none"/>
                    </w:rPr>
                    <w:t>/h）</w:t>
                  </w:r>
                </w:p>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240" w:lineRule="atLeast"/>
                    <w:jc w:val="both"/>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检测项目</w:t>
                  </w:r>
                </w:p>
              </w:tc>
              <w:tc>
                <w:tcPr>
                  <w:tcW w:w="62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12356</w:t>
                  </w:r>
                </w:p>
              </w:tc>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12682</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12691</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12576</w:t>
                  </w:r>
                </w:p>
              </w:tc>
              <w:tc>
                <w:tcPr>
                  <w:tcW w:w="439"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w:t>
                  </w:r>
                </w:p>
              </w:tc>
              <w:tc>
                <w:tcPr>
                  <w:tcW w:w="424"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2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20</w:t>
                  </w:r>
                  <w:r>
                    <w:rPr>
                      <w:rFonts w:hint="default" w:ascii="Times New Roman" w:hAnsi="Times New Roman" w:eastAsia="宋体" w:cs="Times New Roman"/>
                      <w:b w:val="0"/>
                      <w:bCs/>
                      <w:sz w:val="21"/>
                      <w:szCs w:val="21"/>
                      <w:highlight w:val="none"/>
                      <w:lang w:val="en-US" w:eastAsia="zh-CN"/>
                    </w:rPr>
                    <w:t>21</w:t>
                  </w:r>
                  <w:r>
                    <w:rPr>
                      <w:rFonts w:hint="default" w:ascii="Times New Roman" w:hAnsi="Times New Roman" w:eastAsia="宋体" w:cs="Times New Roman"/>
                      <w:b w:val="0"/>
                      <w:bCs/>
                      <w:sz w:val="21"/>
                      <w:szCs w:val="21"/>
                      <w:highlight w:val="none"/>
                    </w:rPr>
                    <w:t>年</w:t>
                  </w:r>
                  <w:r>
                    <w:rPr>
                      <w:rFonts w:hint="default" w:ascii="Times New Roman" w:hAnsi="Times New Roman" w:eastAsia="宋体" w:cs="Times New Roman"/>
                      <w:b w:val="0"/>
                      <w:bCs/>
                      <w:sz w:val="21"/>
                      <w:szCs w:val="21"/>
                      <w:highlight w:val="none"/>
                      <w:lang w:val="en-US" w:eastAsia="zh-CN"/>
                    </w:rPr>
                    <w:t>11</w:t>
                  </w:r>
                  <w:r>
                    <w:rPr>
                      <w:rFonts w:hint="default" w:ascii="Times New Roman" w:hAnsi="Times New Roman" w:eastAsia="宋体" w:cs="Times New Roman"/>
                      <w:b w:val="0"/>
                      <w:bCs/>
                      <w:sz w:val="21"/>
                      <w:szCs w:val="21"/>
                      <w:highlight w:val="none"/>
                    </w:rPr>
                    <w:t>月</w:t>
                  </w:r>
                  <w:r>
                    <w:rPr>
                      <w:rFonts w:hint="default" w:ascii="Times New Roman" w:hAnsi="Times New Roman" w:eastAsia="宋体" w:cs="Times New Roman"/>
                      <w:b w:val="0"/>
                      <w:bCs/>
                      <w:sz w:val="21"/>
                      <w:szCs w:val="21"/>
                      <w:highlight w:val="none"/>
                      <w:lang w:val="en-US" w:eastAsia="zh-CN"/>
                    </w:rPr>
                    <w:t>17</w:t>
                  </w:r>
                  <w:r>
                    <w:rPr>
                      <w:rFonts w:hint="default" w:ascii="Times New Roman" w:hAnsi="Times New Roman" w:eastAsia="宋体" w:cs="Times New Roman"/>
                      <w:b w:val="0"/>
                      <w:bCs/>
                      <w:sz w:val="21"/>
                      <w:szCs w:val="21"/>
                      <w:highlight w:val="none"/>
                    </w:rPr>
                    <w:t>日</w:t>
                  </w:r>
                </w:p>
              </w:tc>
              <w:tc>
                <w:tcPr>
                  <w:tcW w:w="5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color w:val="auto"/>
                      <w:sz w:val="21"/>
                      <w:szCs w:val="21"/>
                      <w:highlight w:val="none"/>
                      <w:lang w:val="en-US" w:eastAsia="zh-CN"/>
                    </w:rPr>
                    <w:t>VOCs（以非甲烷总烃计）</w:t>
                  </w:r>
                </w:p>
              </w:tc>
              <w:tc>
                <w:tcPr>
                  <w:tcW w:w="715"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实测浓度（mg/m</w:t>
                  </w:r>
                  <w:r>
                    <w:rPr>
                      <w:rFonts w:hint="default" w:ascii="Times New Roman" w:hAnsi="Times New Roman" w:eastAsia="宋体" w:cs="Times New Roman"/>
                      <w:b w:val="0"/>
                      <w:bCs/>
                      <w:sz w:val="21"/>
                      <w:szCs w:val="21"/>
                      <w:highlight w:val="none"/>
                      <w:vertAlign w:val="superscript"/>
                    </w:rPr>
                    <w:t>3</w:t>
                  </w:r>
                  <w:r>
                    <w:rPr>
                      <w:rFonts w:hint="default" w:ascii="Times New Roman" w:hAnsi="Times New Roman" w:eastAsia="宋体" w:cs="Times New Roman"/>
                      <w:b w:val="0"/>
                      <w:bCs/>
                      <w:sz w:val="21"/>
                      <w:szCs w:val="21"/>
                      <w:highlight w:val="none"/>
                    </w:rPr>
                    <w:t>）</w:t>
                  </w:r>
                </w:p>
              </w:tc>
              <w:tc>
                <w:tcPr>
                  <w:tcW w:w="62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0.65</w:t>
                  </w:r>
                </w:p>
              </w:tc>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0.63</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0.66</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0.65</w:t>
                  </w:r>
                </w:p>
              </w:tc>
              <w:tc>
                <w:tcPr>
                  <w:tcW w:w="439"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120</w:t>
                  </w:r>
                </w:p>
              </w:tc>
              <w:tc>
                <w:tcPr>
                  <w:tcW w:w="424"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2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color w:val="FF0000"/>
                      <w:sz w:val="21"/>
                      <w:szCs w:val="21"/>
                      <w:highlight w:val="none"/>
                    </w:rPr>
                  </w:pPr>
                </w:p>
              </w:tc>
              <w:tc>
                <w:tcPr>
                  <w:tcW w:w="5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p>
              </w:tc>
              <w:tc>
                <w:tcPr>
                  <w:tcW w:w="715"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lang w:val="en-US" w:eastAsia="zh-CN"/>
                    </w:rPr>
                    <w:t>排放速率</w:t>
                  </w:r>
                  <w:r>
                    <w:rPr>
                      <w:rFonts w:hint="default" w:ascii="Times New Roman" w:hAnsi="Times New Roman" w:eastAsia="宋体" w:cs="Times New Roman"/>
                      <w:b w:val="0"/>
                      <w:bCs/>
                      <w:sz w:val="21"/>
                      <w:szCs w:val="21"/>
                      <w:highlight w:val="none"/>
                    </w:rPr>
                    <w:t>（</w:t>
                  </w:r>
                  <w:r>
                    <w:rPr>
                      <w:rFonts w:hint="default" w:ascii="Times New Roman" w:hAnsi="Times New Roman" w:eastAsia="宋体" w:cs="Times New Roman"/>
                      <w:b w:val="0"/>
                      <w:bCs/>
                      <w:sz w:val="21"/>
                      <w:szCs w:val="21"/>
                      <w:highlight w:val="none"/>
                      <w:lang w:val="en-US" w:eastAsia="zh-CN"/>
                    </w:rPr>
                    <w:t>kg/h</w:t>
                  </w:r>
                  <w:r>
                    <w:rPr>
                      <w:rFonts w:hint="default" w:ascii="Times New Roman" w:hAnsi="Times New Roman" w:eastAsia="宋体" w:cs="Times New Roman"/>
                      <w:b w:val="0"/>
                      <w:bCs/>
                      <w:sz w:val="21"/>
                      <w:szCs w:val="21"/>
                      <w:highlight w:val="none"/>
                    </w:rPr>
                    <w:t>）</w:t>
                  </w:r>
                </w:p>
              </w:tc>
              <w:tc>
                <w:tcPr>
                  <w:tcW w:w="62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0.008</w:t>
                  </w:r>
                </w:p>
              </w:tc>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0.008</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0.008</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0.008</w:t>
                  </w:r>
                </w:p>
              </w:tc>
              <w:tc>
                <w:tcPr>
                  <w:tcW w:w="439"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18.8</w:t>
                  </w:r>
                  <w:r>
                    <w:rPr>
                      <w:rFonts w:hint="default" w:ascii="Times New Roman" w:hAnsi="Times New Roman" w:eastAsia="宋体" w:cs="Times New Roman"/>
                      <w:b w:val="0"/>
                      <w:bCs/>
                      <w:color w:val="000000"/>
                      <w:kern w:val="0"/>
                      <w:sz w:val="21"/>
                      <w:szCs w:val="21"/>
                      <w:highlight w:val="none"/>
                      <w:vertAlign w:val="superscript"/>
                      <w:lang w:val="en-US" w:eastAsia="zh-CN" w:bidi="ar"/>
                    </w:rPr>
                    <w:t>（1）</w:t>
                  </w:r>
                </w:p>
              </w:tc>
              <w:tc>
                <w:tcPr>
                  <w:tcW w:w="424"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88"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检测点位</w:t>
                  </w:r>
                </w:p>
              </w:tc>
              <w:tc>
                <w:tcPr>
                  <w:tcW w:w="2444"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color w:val="FF0000"/>
                      <w:sz w:val="21"/>
                      <w:szCs w:val="21"/>
                      <w:highlight w:val="none"/>
                    </w:rPr>
                  </w:pPr>
                  <w:r>
                    <w:rPr>
                      <w:rFonts w:hint="default" w:ascii="Times New Roman" w:hAnsi="Times New Roman" w:eastAsia="宋体" w:cs="Times New Roman"/>
                      <w:b w:val="0"/>
                      <w:bCs/>
                      <w:sz w:val="21"/>
                      <w:szCs w:val="21"/>
                      <w:highlight w:val="none"/>
                      <w:lang w:val="en-US" w:eastAsia="zh-CN"/>
                    </w:rPr>
                    <w:t>7</w:t>
                  </w:r>
                  <w:r>
                    <w:rPr>
                      <w:rFonts w:hint="default" w:ascii="Times New Roman" w:hAnsi="Times New Roman" w:eastAsia="宋体" w:cs="Times New Roman"/>
                      <w:b w:val="0"/>
                      <w:bCs/>
                      <w:sz w:val="21"/>
                      <w:szCs w:val="21"/>
                      <w:highlight w:val="none"/>
                    </w:rPr>
                    <w:t>#：</w:t>
                  </w:r>
                  <w:r>
                    <w:rPr>
                      <w:rFonts w:hint="default" w:ascii="Times New Roman" w:hAnsi="Times New Roman" w:eastAsia="宋体" w:cs="Times New Roman"/>
                      <w:b w:val="0"/>
                      <w:bCs/>
                      <w:sz w:val="21"/>
                      <w:szCs w:val="21"/>
                      <w:highlight w:val="none"/>
                      <w:lang w:val="en-US" w:eastAsia="zh-CN"/>
                    </w:rPr>
                    <w:t>排气筒检测口距地面18.5m处</w:t>
                  </w:r>
                </w:p>
              </w:tc>
              <w:tc>
                <w:tcPr>
                  <w:tcW w:w="1466"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排气筒高度</w:t>
                  </w:r>
                  <w:r>
                    <w:rPr>
                      <w:rFonts w:hint="default" w:ascii="Times New Roman" w:hAnsi="Times New Roman" w:eastAsia="宋体" w:cs="Times New Roman"/>
                      <w:b w:val="0"/>
                      <w:bCs/>
                      <w:sz w:val="21"/>
                      <w:szCs w:val="21"/>
                      <w:highlight w:val="none"/>
                      <w:lang w:val="en-US" w:eastAsia="zh-CN"/>
                    </w:rPr>
                    <w:t>20.5</w:t>
                  </w:r>
                  <w:r>
                    <w:rPr>
                      <w:rFonts w:hint="default" w:ascii="Times New Roman" w:hAnsi="Times New Roman" w:eastAsia="宋体" w:cs="Times New Roman"/>
                      <w:b w:val="0"/>
                      <w:bCs/>
                      <w:sz w:val="21"/>
                      <w:szCs w:val="21"/>
                      <w:highlight w:val="none"/>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28"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检测频次</w:t>
                  </w:r>
                </w:p>
              </w:tc>
              <w:tc>
                <w:tcPr>
                  <w:tcW w:w="62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bidi="ar"/>
                    </w:rPr>
                  </w:pPr>
                  <w:r>
                    <w:rPr>
                      <w:rFonts w:hint="default" w:ascii="Times New Roman" w:hAnsi="Times New Roman" w:eastAsia="宋体" w:cs="Times New Roman"/>
                      <w:b w:val="0"/>
                      <w:bCs/>
                      <w:color w:val="000000"/>
                      <w:kern w:val="0"/>
                      <w:sz w:val="21"/>
                      <w:szCs w:val="21"/>
                      <w:highlight w:val="none"/>
                      <w:lang w:val="en-US" w:eastAsia="zh-CN" w:bidi="ar"/>
                    </w:rPr>
                    <w:t>第一次</w:t>
                  </w:r>
                </w:p>
              </w:tc>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第二次</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第三次</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平均值</w:t>
                  </w:r>
                </w:p>
              </w:tc>
              <w:tc>
                <w:tcPr>
                  <w:tcW w:w="439"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限值</w:t>
                  </w:r>
                </w:p>
              </w:tc>
              <w:tc>
                <w:tcPr>
                  <w:tcW w:w="424"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728"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ind w:firstLine="420" w:firstLineChars="200"/>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kern w:val="0"/>
                      <w:sz w:val="21"/>
                      <w:szCs w:val="21"/>
                      <w:highlight w:val="none"/>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22860</wp:posOffset>
                            </wp:positionV>
                            <wp:extent cx="1833880" cy="614680"/>
                            <wp:effectExtent l="1270" t="4445" r="8890" b="5715"/>
                            <wp:wrapNone/>
                            <wp:docPr id="16" name="直接箭头连接符 16"/>
                            <wp:cNvGraphicFramePr/>
                            <a:graphic xmlns:a="http://schemas.openxmlformats.org/drawingml/2006/main">
                              <a:graphicData uri="http://schemas.microsoft.com/office/word/2010/wordprocessingShape">
                                <wps:wsp>
                                  <wps:cNvCnPr/>
                                  <wps:spPr>
                                    <a:xfrm>
                                      <a:off x="0" y="0"/>
                                      <a:ext cx="1833880" cy="6146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5pt;margin-top:1.8pt;height:48.4pt;width:144.4pt;z-index:251666432;mso-width-relative:page;mso-height-relative:page;" filled="f" stroked="t" coordsize="21600,21600" o:gfxdata="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x6ZtgAAAAJAQAADwAAAAAAAAABACAAAAAiAAAAZHJzL2Rv&#10;d25yZXYueG1sUEsBAhQAFAAAAAgAh07iQCP7XvQBAgAA8wMAAA4AAAAAAAAAAQAgAAAAJwEAAGRy&#10;cy9lMm9Eb2MueG1sUEsFBgAAAAAGAAYAWQEAAJoFAAAAAA==&#10;">
                            <v:fill on="f" focussize="0,0"/>
                            <v:stroke color="#000000" joinstyle="round"/>
                            <v:imagedata o:title=""/>
                            <o:lock v:ext="edit" aspectratio="f"/>
                          </v:shape>
                        </w:pict>
                      </mc:Fallback>
                    </mc:AlternateContent>
                  </w:r>
                  <w:r>
                    <w:rPr>
                      <w:rFonts w:hint="default" w:ascii="Times New Roman" w:hAnsi="Times New Roman" w:eastAsia="宋体" w:cs="Times New Roman"/>
                      <w:b w:val="0"/>
                      <w:bCs/>
                      <w:kern w:val="0"/>
                      <w:sz w:val="21"/>
                      <w:szCs w:val="21"/>
                      <w:highlight w:val="none"/>
                    </w:rPr>
                    <w:t>标干烟气流量（m</w:t>
                  </w:r>
                  <w:r>
                    <w:rPr>
                      <w:rFonts w:hint="default" w:ascii="Times New Roman" w:hAnsi="Times New Roman" w:eastAsia="宋体" w:cs="Times New Roman"/>
                      <w:b w:val="0"/>
                      <w:bCs/>
                      <w:kern w:val="0"/>
                      <w:sz w:val="21"/>
                      <w:szCs w:val="21"/>
                      <w:highlight w:val="none"/>
                      <w:vertAlign w:val="superscript"/>
                    </w:rPr>
                    <w:t>3</w:t>
                  </w:r>
                  <w:r>
                    <w:rPr>
                      <w:rFonts w:hint="default" w:ascii="Times New Roman" w:hAnsi="Times New Roman" w:eastAsia="宋体" w:cs="Times New Roman"/>
                      <w:b w:val="0"/>
                      <w:bCs/>
                      <w:kern w:val="0"/>
                      <w:sz w:val="21"/>
                      <w:szCs w:val="21"/>
                      <w:highlight w:val="none"/>
                    </w:rPr>
                    <w:t>/h）</w:t>
                  </w:r>
                </w:p>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240" w:lineRule="atLeast"/>
                    <w:jc w:val="both"/>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检测项目</w:t>
                  </w:r>
                </w:p>
              </w:tc>
              <w:tc>
                <w:tcPr>
                  <w:tcW w:w="62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12555</w:t>
                  </w:r>
                </w:p>
              </w:tc>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12834</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12282</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12557</w:t>
                  </w:r>
                </w:p>
              </w:tc>
              <w:tc>
                <w:tcPr>
                  <w:tcW w:w="439"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w:t>
                  </w:r>
                </w:p>
              </w:tc>
              <w:tc>
                <w:tcPr>
                  <w:tcW w:w="424"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2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20</w:t>
                  </w:r>
                  <w:r>
                    <w:rPr>
                      <w:rFonts w:hint="default" w:ascii="Times New Roman" w:hAnsi="Times New Roman" w:eastAsia="宋体" w:cs="Times New Roman"/>
                      <w:b w:val="0"/>
                      <w:bCs/>
                      <w:sz w:val="21"/>
                      <w:szCs w:val="21"/>
                      <w:highlight w:val="none"/>
                      <w:lang w:val="en-US" w:eastAsia="zh-CN"/>
                    </w:rPr>
                    <w:t>21</w:t>
                  </w:r>
                  <w:r>
                    <w:rPr>
                      <w:rFonts w:hint="default" w:ascii="Times New Roman" w:hAnsi="Times New Roman" w:eastAsia="宋体" w:cs="Times New Roman"/>
                      <w:b w:val="0"/>
                      <w:bCs/>
                      <w:sz w:val="21"/>
                      <w:szCs w:val="21"/>
                      <w:highlight w:val="none"/>
                    </w:rPr>
                    <w:t>年</w:t>
                  </w:r>
                  <w:r>
                    <w:rPr>
                      <w:rFonts w:hint="default" w:ascii="Times New Roman" w:hAnsi="Times New Roman" w:eastAsia="宋体" w:cs="Times New Roman"/>
                      <w:b w:val="0"/>
                      <w:bCs/>
                      <w:sz w:val="21"/>
                      <w:szCs w:val="21"/>
                      <w:highlight w:val="none"/>
                      <w:lang w:val="en-US" w:eastAsia="zh-CN"/>
                    </w:rPr>
                    <w:t>11</w:t>
                  </w:r>
                  <w:r>
                    <w:rPr>
                      <w:rFonts w:hint="default" w:ascii="Times New Roman" w:hAnsi="Times New Roman" w:eastAsia="宋体" w:cs="Times New Roman"/>
                      <w:b w:val="0"/>
                      <w:bCs/>
                      <w:sz w:val="21"/>
                      <w:szCs w:val="21"/>
                      <w:highlight w:val="none"/>
                    </w:rPr>
                    <w:t>月</w:t>
                  </w:r>
                  <w:r>
                    <w:rPr>
                      <w:rFonts w:hint="default" w:ascii="Times New Roman" w:hAnsi="Times New Roman" w:eastAsia="宋体" w:cs="Times New Roman"/>
                      <w:b w:val="0"/>
                      <w:bCs/>
                      <w:sz w:val="21"/>
                      <w:szCs w:val="21"/>
                      <w:highlight w:val="none"/>
                      <w:lang w:val="en-US" w:eastAsia="zh-CN"/>
                    </w:rPr>
                    <w:t>17</w:t>
                  </w:r>
                  <w:r>
                    <w:rPr>
                      <w:rFonts w:hint="default" w:ascii="Times New Roman" w:hAnsi="Times New Roman" w:eastAsia="宋体" w:cs="Times New Roman"/>
                      <w:b w:val="0"/>
                      <w:bCs/>
                      <w:sz w:val="21"/>
                      <w:szCs w:val="21"/>
                      <w:highlight w:val="none"/>
                    </w:rPr>
                    <w:t>日</w:t>
                  </w:r>
                </w:p>
              </w:tc>
              <w:tc>
                <w:tcPr>
                  <w:tcW w:w="583"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color w:val="auto"/>
                      <w:sz w:val="21"/>
                      <w:szCs w:val="21"/>
                      <w:highlight w:val="none"/>
                      <w:lang w:val="en-US" w:eastAsia="zh-CN"/>
                    </w:rPr>
                    <w:t>VOCs（以非甲烷总烃计）</w:t>
                  </w:r>
                </w:p>
              </w:tc>
              <w:tc>
                <w:tcPr>
                  <w:tcW w:w="715"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实测浓度（mg/m</w:t>
                  </w:r>
                  <w:r>
                    <w:rPr>
                      <w:rFonts w:hint="default" w:ascii="Times New Roman" w:hAnsi="Times New Roman" w:eastAsia="宋体" w:cs="Times New Roman"/>
                      <w:b w:val="0"/>
                      <w:bCs/>
                      <w:sz w:val="21"/>
                      <w:szCs w:val="21"/>
                      <w:highlight w:val="none"/>
                      <w:vertAlign w:val="superscript"/>
                    </w:rPr>
                    <w:t>3</w:t>
                  </w:r>
                  <w:r>
                    <w:rPr>
                      <w:rFonts w:hint="default" w:ascii="Times New Roman" w:hAnsi="Times New Roman" w:eastAsia="宋体" w:cs="Times New Roman"/>
                      <w:b w:val="0"/>
                      <w:bCs/>
                      <w:sz w:val="21"/>
                      <w:szCs w:val="21"/>
                      <w:highlight w:val="none"/>
                    </w:rPr>
                    <w:t>）</w:t>
                  </w:r>
                </w:p>
              </w:tc>
              <w:tc>
                <w:tcPr>
                  <w:tcW w:w="62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0.81</w:t>
                  </w:r>
                </w:p>
              </w:tc>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0.82</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0.79</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0.81</w:t>
                  </w:r>
                </w:p>
              </w:tc>
              <w:tc>
                <w:tcPr>
                  <w:tcW w:w="439"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120</w:t>
                  </w:r>
                </w:p>
              </w:tc>
              <w:tc>
                <w:tcPr>
                  <w:tcW w:w="424"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2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color w:val="FF0000"/>
                      <w:sz w:val="21"/>
                      <w:szCs w:val="21"/>
                      <w:highlight w:val="none"/>
                    </w:rPr>
                  </w:pPr>
                </w:p>
              </w:tc>
              <w:tc>
                <w:tcPr>
                  <w:tcW w:w="583"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p>
              </w:tc>
              <w:tc>
                <w:tcPr>
                  <w:tcW w:w="715"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lang w:val="en-US" w:eastAsia="zh-CN"/>
                    </w:rPr>
                    <w:t>排放速率</w:t>
                  </w:r>
                  <w:r>
                    <w:rPr>
                      <w:rFonts w:hint="default" w:ascii="Times New Roman" w:hAnsi="Times New Roman" w:eastAsia="宋体" w:cs="Times New Roman"/>
                      <w:b w:val="0"/>
                      <w:bCs/>
                      <w:sz w:val="21"/>
                      <w:szCs w:val="21"/>
                      <w:highlight w:val="none"/>
                    </w:rPr>
                    <w:t>（</w:t>
                  </w:r>
                  <w:r>
                    <w:rPr>
                      <w:rFonts w:hint="default" w:ascii="Times New Roman" w:hAnsi="Times New Roman" w:eastAsia="宋体" w:cs="Times New Roman"/>
                      <w:b w:val="0"/>
                      <w:bCs/>
                      <w:sz w:val="21"/>
                      <w:szCs w:val="21"/>
                      <w:highlight w:val="none"/>
                      <w:lang w:val="en-US" w:eastAsia="zh-CN"/>
                    </w:rPr>
                    <w:t>kg/h</w:t>
                  </w:r>
                  <w:r>
                    <w:rPr>
                      <w:rFonts w:hint="default" w:ascii="Times New Roman" w:hAnsi="Times New Roman" w:eastAsia="宋体" w:cs="Times New Roman"/>
                      <w:b w:val="0"/>
                      <w:bCs/>
                      <w:sz w:val="21"/>
                      <w:szCs w:val="21"/>
                      <w:highlight w:val="none"/>
                    </w:rPr>
                    <w:t>）</w:t>
                  </w:r>
                </w:p>
              </w:tc>
              <w:tc>
                <w:tcPr>
                  <w:tcW w:w="62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0.010</w:t>
                  </w:r>
                </w:p>
              </w:tc>
              <w:tc>
                <w:tcPr>
                  <w:tcW w:w="576"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0.011</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0.010</w:t>
                  </w:r>
                </w:p>
              </w:tc>
              <w:tc>
                <w:tcPr>
                  <w:tcW w:w="602"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0.010</w:t>
                  </w:r>
                </w:p>
              </w:tc>
              <w:tc>
                <w:tcPr>
                  <w:tcW w:w="439"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18.8</w:t>
                  </w:r>
                  <w:r>
                    <w:rPr>
                      <w:rFonts w:hint="default" w:ascii="Times New Roman" w:hAnsi="Times New Roman" w:eastAsia="宋体" w:cs="Times New Roman"/>
                      <w:b w:val="0"/>
                      <w:bCs/>
                      <w:color w:val="000000"/>
                      <w:kern w:val="0"/>
                      <w:sz w:val="21"/>
                      <w:szCs w:val="21"/>
                      <w:highlight w:val="none"/>
                      <w:vertAlign w:val="superscript"/>
                      <w:lang w:val="en-US" w:eastAsia="zh-CN" w:bidi="ar"/>
                    </w:rPr>
                    <w:t>（1）</w:t>
                  </w:r>
                </w:p>
              </w:tc>
              <w:tc>
                <w:tcPr>
                  <w:tcW w:w="424"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center"/>
                    <w:rPr>
                      <w:rFonts w:hint="default" w:ascii="Times New Roman" w:hAnsi="Times New Roman" w:eastAsia="宋体" w:cs="Times New Roman"/>
                      <w:b w:val="0"/>
                      <w:bCs/>
                      <w:color w:val="000000"/>
                      <w:kern w:val="0"/>
                      <w:sz w:val="21"/>
                      <w:szCs w:val="21"/>
                      <w:highlight w:val="none"/>
                      <w:lang w:val="en-US" w:eastAsia="zh-CN" w:bidi="ar"/>
                    </w:rPr>
                  </w:pPr>
                  <w:r>
                    <w:rPr>
                      <w:rFonts w:hint="default" w:ascii="Times New Roman" w:hAnsi="Times New Roman" w:eastAsia="宋体" w:cs="Times New Roman"/>
                      <w:b w:val="0"/>
                      <w:bCs/>
                      <w:color w:val="000000"/>
                      <w:kern w:val="0"/>
                      <w:sz w:val="21"/>
                      <w:szCs w:val="21"/>
                      <w:highlight w:val="none"/>
                      <w:lang w:val="en-US" w:eastAsia="zh-CN" w:bidi="ar"/>
                    </w:rPr>
                    <w:t>/</w:t>
                  </w:r>
                </w:p>
              </w:tc>
            </w:tr>
          </w:tbl>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color w:val="auto"/>
                <w:kern w:val="2"/>
                <w:sz w:val="24"/>
                <w:szCs w:val="24"/>
                <w:highlight w:val="none"/>
                <w:lang w:val="en-US" w:eastAsia="zh-CN"/>
              </w:rPr>
            </w:pPr>
          </w:p>
          <w:tbl>
            <w:tblPr>
              <w:tblStyle w:val="24"/>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998"/>
              <w:gridCol w:w="101"/>
              <w:gridCol w:w="1069"/>
              <w:gridCol w:w="1000"/>
              <w:gridCol w:w="1306"/>
              <w:gridCol w:w="940"/>
              <w:gridCol w:w="942"/>
              <w:gridCol w:w="957"/>
              <w:gridCol w:w="7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115"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检测点位</w:t>
                  </w:r>
                </w:p>
              </w:tc>
              <w:tc>
                <w:tcPr>
                  <w:tcW w:w="2442" w:type="pct"/>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sz w:val="21"/>
                      <w:szCs w:val="21"/>
                      <w:highlight w:val="none"/>
                      <w:lang w:val="en-US"/>
                    </w:rPr>
                  </w:pPr>
                  <w:r>
                    <w:rPr>
                      <w:rFonts w:hint="default" w:ascii="Times New Roman" w:hAnsi="Times New Roman" w:eastAsia="宋体" w:cs="Times New Roman"/>
                      <w:b w:val="0"/>
                      <w:bCs/>
                      <w:sz w:val="21"/>
                      <w:szCs w:val="21"/>
                      <w:highlight w:val="none"/>
                      <w:lang w:val="en-US" w:eastAsia="zh-CN"/>
                    </w:rPr>
                    <w:t>5#、6#等效排气筒视为5#’排气筒</w:t>
                  </w:r>
                </w:p>
              </w:tc>
              <w:tc>
                <w:tcPr>
                  <w:tcW w:w="1442"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lang w:val="en-US" w:eastAsia="zh-CN"/>
                    </w:rPr>
                    <w:t>等效</w:t>
                  </w:r>
                  <w:r>
                    <w:rPr>
                      <w:rFonts w:hint="default" w:ascii="Times New Roman" w:hAnsi="Times New Roman" w:eastAsia="宋体" w:cs="Times New Roman"/>
                      <w:b w:val="0"/>
                      <w:bCs/>
                      <w:sz w:val="21"/>
                      <w:szCs w:val="21"/>
                      <w:highlight w:val="none"/>
                    </w:rPr>
                    <w:t>排气筒高度</w:t>
                  </w:r>
                  <w:r>
                    <w:rPr>
                      <w:rFonts w:hint="default" w:ascii="Times New Roman" w:hAnsi="Times New Roman" w:eastAsia="宋体" w:cs="Times New Roman"/>
                      <w:b w:val="0"/>
                      <w:bCs/>
                      <w:sz w:val="21"/>
                      <w:szCs w:val="21"/>
                      <w:highlight w:val="none"/>
                      <w:vertAlign w:val="superscript"/>
                      <w:lang w:eastAsia="zh-CN"/>
                    </w:rPr>
                    <w:t>（</w:t>
                  </w:r>
                  <w:r>
                    <w:rPr>
                      <w:rFonts w:hint="default" w:ascii="Times New Roman" w:hAnsi="Times New Roman" w:eastAsia="宋体" w:cs="Times New Roman"/>
                      <w:b w:val="0"/>
                      <w:bCs/>
                      <w:sz w:val="21"/>
                      <w:szCs w:val="21"/>
                      <w:highlight w:val="none"/>
                      <w:vertAlign w:val="superscript"/>
                      <w:lang w:val="en-US" w:eastAsia="zh-CN"/>
                    </w:rPr>
                    <w:t>2）（3）</w:t>
                  </w:r>
                  <w:r>
                    <w:rPr>
                      <w:rFonts w:hint="default" w:ascii="Times New Roman" w:hAnsi="Times New Roman" w:eastAsia="宋体" w:cs="Times New Roman"/>
                      <w:b w:val="0"/>
                      <w:bCs/>
                      <w:sz w:val="21"/>
                      <w:szCs w:val="21"/>
                      <w:highlight w:val="none"/>
                      <w:lang w:val="en-US" w:eastAsia="zh-CN"/>
                    </w:rPr>
                    <w:t>20.5</w:t>
                  </w:r>
                  <w:r>
                    <w:rPr>
                      <w:rFonts w:hint="default" w:ascii="Times New Roman" w:hAnsi="Times New Roman" w:eastAsia="宋体" w:cs="Times New Roman"/>
                      <w:b w:val="0"/>
                      <w:bCs/>
                      <w:sz w:val="21"/>
                      <w:szCs w:val="21"/>
                      <w:highlight w:val="none"/>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762"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检测频次</w:t>
                  </w:r>
                </w:p>
              </w:tc>
              <w:tc>
                <w:tcPr>
                  <w:tcW w:w="553"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第一次</w:t>
                  </w:r>
                </w:p>
              </w:tc>
              <w:tc>
                <w:tcPr>
                  <w:tcW w:w="722"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第二次</w:t>
                  </w:r>
                </w:p>
              </w:tc>
              <w:tc>
                <w:tcPr>
                  <w:tcW w:w="518"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第三次</w:t>
                  </w:r>
                </w:p>
              </w:tc>
              <w:tc>
                <w:tcPr>
                  <w:tcW w:w="521"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平均值</w:t>
                  </w:r>
                </w:p>
              </w:tc>
              <w:tc>
                <w:tcPr>
                  <w:tcW w:w="5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限值</w:t>
                  </w:r>
                </w:p>
              </w:tc>
              <w:tc>
                <w:tcPr>
                  <w:tcW w:w="391"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63"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202</w:t>
                  </w:r>
                  <w:r>
                    <w:rPr>
                      <w:rFonts w:hint="default" w:ascii="Times New Roman" w:hAnsi="Times New Roman" w:eastAsia="宋体" w:cs="Times New Roman"/>
                      <w:b w:val="0"/>
                      <w:bCs/>
                      <w:color w:val="auto"/>
                      <w:sz w:val="21"/>
                      <w:szCs w:val="21"/>
                      <w:highlight w:val="none"/>
                      <w:lang w:val="en-US" w:eastAsia="zh-CN"/>
                    </w:rPr>
                    <w:t>1</w:t>
                  </w:r>
                  <w:r>
                    <w:rPr>
                      <w:rFonts w:hint="default" w:ascii="Times New Roman" w:hAnsi="Times New Roman" w:eastAsia="宋体" w:cs="Times New Roman"/>
                      <w:b w:val="0"/>
                      <w:bCs/>
                      <w:color w:val="auto"/>
                      <w:sz w:val="21"/>
                      <w:szCs w:val="21"/>
                      <w:highlight w:val="none"/>
                    </w:rPr>
                    <w:t>年</w:t>
                  </w:r>
                  <w:r>
                    <w:rPr>
                      <w:rFonts w:hint="default" w:ascii="Times New Roman" w:hAnsi="Times New Roman" w:eastAsia="宋体" w:cs="Times New Roman"/>
                      <w:b w:val="0"/>
                      <w:bCs/>
                      <w:color w:val="auto"/>
                      <w:sz w:val="21"/>
                      <w:szCs w:val="21"/>
                      <w:highlight w:val="none"/>
                      <w:lang w:val="en-US" w:eastAsia="zh-CN"/>
                    </w:rPr>
                    <w:t>11</w:t>
                  </w:r>
                  <w:r>
                    <w:rPr>
                      <w:rFonts w:hint="default" w:ascii="Times New Roman" w:hAnsi="Times New Roman" w:eastAsia="宋体" w:cs="Times New Roman"/>
                      <w:b w:val="0"/>
                      <w:bCs/>
                      <w:color w:val="auto"/>
                      <w:sz w:val="21"/>
                      <w:szCs w:val="21"/>
                      <w:highlight w:val="none"/>
                    </w:rPr>
                    <w:t>月</w:t>
                  </w:r>
                  <w:r>
                    <w:rPr>
                      <w:rFonts w:hint="default" w:ascii="Times New Roman" w:hAnsi="Times New Roman" w:eastAsia="宋体" w:cs="Times New Roman"/>
                      <w:b w:val="0"/>
                      <w:bCs/>
                      <w:color w:val="auto"/>
                      <w:sz w:val="21"/>
                      <w:szCs w:val="21"/>
                      <w:highlight w:val="none"/>
                      <w:lang w:val="en-US" w:eastAsia="zh-CN"/>
                    </w:rPr>
                    <w:t>17</w:t>
                  </w:r>
                  <w:r>
                    <w:rPr>
                      <w:rFonts w:hint="default" w:ascii="Times New Roman" w:hAnsi="Times New Roman" w:eastAsia="宋体" w:cs="Times New Roman"/>
                      <w:b w:val="0"/>
                      <w:bCs/>
                      <w:color w:val="auto"/>
                      <w:sz w:val="21"/>
                      <w:szCs w:val="21"/>
                      <w:highlight w:val="none"/>
                    </w:rPr>
                    <w:t>日</w:t>
                  </w:r>
                </w:p>
              </w:tc>
              <w:tc>
                <w:tcPr>
                  <w:tcW w:w="608"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sz w:val="21"/>
                      <w:szCs w:val="21"/>
                      <w:highlight w:val="none"/>
                    </w:rPr>
                    <w:t>VOCs（以非甲烷总烃计）</w:t>
                  </w:r>
                </w:p>
              </w:tc>
              <w:tc>
                <w:tcPr>
                  <w:tcW w:w="591"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排放速率</w:t>
                  </w:r>
                  <w:r>
                    <w:rPr>
                      <w:rFonts w:hint="default" w:ascii="Times New Roman" w:hAnsi="Times New Roman" w:eastAsia="宋体" w:cs="Times New Roman"/>
                      <w:b w:val="0"/>
                      <w:bCs/>
                      <w:color w:val="auto"/>
                      <w:sz w:val="21"/>
                      <w:szCs w:val="21"/>
                      <w:highlight w:val="none"/>
                      <w:vertAlign w:val="superscript"/>
                      <w:lang w:val="en-US" w:eastAsia="zh-CN"/>
                    </w:rPr>
                    <w:t>（4）</w:t>
                  </w:r>
                  <w:r>
                    <w:rPr>
                      <w:rFonts w:hint="default" w:ascii="Times New Roman" w:hAnsi="Times New Roman" w:eastAsia="宋体" w:cs="Times New Roman"/>
                      <w:b w:val="0"/>
                      <w:bCs/>
                      <w:color w:val="auto"/>
                      <w:sz w:val="21"/>
                      <w:szCs w:val="21"/>
                      <w:highlight w:val="none"/>
                    </w:rPr>
                    <w:t>（kg/h）</w:t>
                  </w:r>
                </w:p>
              </w:tc>
              <w:tc>
                <w:tcPr>
                  <w:tcW w:w="553"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bidi="ar"/>
                    </w:rPr>
                    <w:t>0.021</w:t>
                  </w:r>
                </w:p>
              </w:tc>
              <w:tc>
                <w:tcPr>
                  <w:tcW w:w="722"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bidi="ar"/>
                    </w:rPr>
                    <w:t>0.022</w:t>
                  </w:r>
                </w:p>
              </w:tc>
              <w:tc>
                <w:tcPr>
                  <w:tcW w:w="518"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bidi="ar"/>
                    </w:rPr>
                    <w:t>0.022</w:t>
                  </w:r>
                </w:p>
              </w:tc>
              <w:tc>
                <w:tcPr>
                  <w:tcW w:w="521"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bidi="ar"/>
                    </w:rPr>
                    <w:t>0.022</w:t>
                  </w:r>
                </w:p>
              </w:tc>
              <w:tc>
                <w:tcPr>
                  <w:tcW w:w="5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bidi="ar"/>
                    </w:rPr>
                    <w:t>18.8</w:t>
                  </w:r>
                  <w:r>
                    <w:rPr>
                      <w:rFonts w:hint="default" w:ascii="Times New Roman" w:hAnsi="Times New Roman" w:eastAsia="宋体" w:cs="Times New Roman"/>
                      <w:b w:val="0"/>
                      <w:bCs/>
                      <w:color w:val="auto"/>
                      <w:kern w:val="0"/>
                      <w:sz w:val="21"/>
                      <w:szCs w:val="21"/>
                      <w:highlight w:val="none"/>
                      <w:vertAlign w:val="superscript"/>
                      <w:lang w:val="en-US" w:eastAsia="zh-CN" w:bidi="ar"/>
                    </w:rPr>
                    <w:t>（1）</w:t>
                  </w:r>
                </w:p>
              </w:tc>
              <w:tc>
                <w:tcPr>
                  <w:tcW w:w="391"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115"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检测点位</w:t>
                  </w:r>
                </w:p>
              </w:tc>
              <w:tc>
                <w:tcPr>
                  <w:tcW w:w="2442" w:type="pct"/>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lang w:val="en-US" w:eastAsia="zh-CN"/>
                    </w:rPr>
                    <w:t>5#’排气筒、7#等效排气筒</w:t>
                  </w:r>
                </w:p>
              </w:tc>
              <w:tc>
                <w:tcPr>
                  <w:tcW w:w="1442"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lang w:val="en-US" w:eastAsia="zh-CN"/>
                    </w:rPr>
                    <w:t>等效</w:t>
                  </w:r>
                  <w:r>
                    <w:rPr>
                      <w:rFonts w:hint="default" w:ascii="Times New Roman" w:hAnsi="Times New Roman" w:eastAsia="宋体" w:cs="Times New Roman"/>
                      <w:b w:val="0"/>
                      <w:bCs/>
                      <w:sz w:val="21"/>
                      <w:szCs w:val="21"/>
                      <w:highlight w:val="none"/>
                    </w:rPr>
                    <w:t>排气筒高度</w:t>
                  </w:r>
                  <w:r>
                    <w:rPr>
                      <w:rFonts w:hint="default" w:ascii="Times New Roman" w:hAnsi="Times New Roman" w:eastAsia="宋体" w:cs="Times New Roman"/>
                      <w:b w:val="0"/>
                      <w:bCs/>
                      <w:sz w:val="21"/>
                      <w:szCs w:val="21"/>
                      <w:highlight w:val="none"/>
                      <w:vertAlign w:val="superscript"/>
                      <w:lang w:eastAsia="zh-CN"/>
                    </w:rPr>
                    <w:t>（</w:t>
                  </w:r>
                  <w:r>
                    <w:rPr>
                      <w:rFonts w:hint="default" w:ascii="Times New Roman" w:hAnsi="Times New Roman" w:eastAsia="宋体" w:cs="Times New Roman"/>
                      <w:b w:val="0"/>
                      <w:bCs/>
                      <w:sz w:val="21"/>
                      <w:szCs w:val="21"/>
                      <w:highlight w:val="none"/>
                      <w:vertAlign w:val="superscript"/>
                      <w:lang w:val="en-US" w:eastAsia="zh-CN"/>
                    </w:rPr>
                    <w:t>2）（3）</w:t>
                  </w:r>
                  <w:r>
                    <w:rPr>
                      <w:rFonts w:hint="default" w:ascii="Times New Roman" w:hAnsi="Times New Roman" w:eastAsia="宋体" w:cs="Times New Roman"/>
                      <w:b w:val="0"/>
                      <w:bCs/>
                      <w:sz w:val="21"/>
                      <w:szCs w:val="21"/>
                      <w:highlight w:val="none"/>
                      <w:lang w:val="en-US" w:eastAsia="zh-CN"/>
                    </w:rPr>
                    <w:t>20.5</w:t>
                  </w:r>
                  <w:r>
                    <w:rPr>
                      <w:rFonts w:hint="default" w:ascii="Times New Roman" w:hAnsi="Times New Roman" w:eastAsia="宋体" w:cs="Times New Roman"/>
                      <w:b w:val="0"/>
                      <w:bCs/>
                      <w:sz w:val="21"/>
                      <w:szCs w:val="21"/>
                      <w:highlight w:val="none"/>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762"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检测频次</w:t>
                  </w:r>
                </w:p>
              </w:tc>
              <w:tc>
                <w:tcPr>
                  <w:tcW w:w="553"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第一次</w:t>
                  </w:r>
                </w:p>
              </w:tc>
              <w:tc>
                <w:tcPr>
                  <w:tcW w:w="722"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第二次</w:t>
                  </w:r>
                </w:p>
              </w:tc>
              <w:tc>
                <w:tcPr>
                  <w:tcW w:w="518"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第三次</w:t>
                  </w:r>
                </w:p>
              </w:tc>
              <w:tc>
                <w:tcPr>
                  <w:tcW w:w="521"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平均值</w:t>
                  </w:r>
                </w:p>
              </w:tc>
              <w:tc>
                <w:tcPr>
                  <w:tcW w:w="5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限值</w:t>
                  </w:r>
                </w:p>
              </w:tc>
              <w:tc>
                <w:tcPr>
                  <w:tcW w:w="391"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63"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202</w:t>
                  </w:r>
                  <w:r>
                    <w:rPr>
                      <w:rFonts w:hint="default" w:ascii="Times New Roman" w:hAnsi="Times New Roman" w:eastAsia="宋体" w:cs="Times New Roman"/>
                      <w:b w:val="0"/>
                      <w:bCs/>
                      <w:color w:val="auto"/>
                      <w:sz w:val="21"/>
                      <w:szCs w:val="21"/>
                      <w:highlight w:val="none"/>
                      <w:lang w:val="en-US" w:eastAsia="zh-CN"/>
                    </w:rPr>
                    <w:t>1</w:t>
                  </w:r>
                  <w:r>
                    <w:rPr>
                      <w:rFonts w:hint="default" w:ascii="Times New Roman" w:hAnsi="Times New Roman" w:eastAsia="宋体" w:cs="Times New Roman"/>
                      <w:b w:val="0"/>
                      <w:bCs/>
                      <w:color w:val="auto"/>
                      <w:sz w:val="21"/>
                      <w:szCs w:val="21"/>
                      <w:highlight w:val="none"/>
                    </w:rPr>
                    <w:t>年</w:t>
                  </w:r>
                  <w:r>
                    <w:rPr>
                      <w:rFonts w:hint="default" w:ascii="Times New Roman" w:hAnsi="Times New Roman" w:eastAsia="宋体" w:cs="Times New Roman"/>
                      <w:b w:val="0"/>
                      <w:bCs/>
                      <w:color w:val="auto"/>
                      <w:sz w:val="21"/>
                      <w:szCs w:val="21"/>
                      <w:highlight w:val="none"/>
                      <w:lang w:val="en-US" w:eastAsia="zh-CN"/>
                    </w:rPr>
                    <w:t>11</w:t>
                  </w:r>
                  <w:r>
                    <w:rPr>
                      <w:rFonts w:hint="default" w:ascii="Times New Roman" w:hAnsi="Times New Roman" w:eastAsia="宋体" w:cs="Times New Roman"/>
                      <w:b w:val="0"/>
                      <w:bCs/>
                      <w:color w:val="auto"/>
                      <w:sz w:val="21"/>
                      <w:szCs w:val="21"/>
                      <w:highlight w:val="none"/>
                    </w:rPr>
                    <w:t>月</w:t>
                  </w:r>
                  <w:r>
                    <w:rPr>
                      <w:rFonts w:hint="default" w:ascii="Times New Roman" w:hAnsi="Times New Roman" w:eastAsia="宋体" w:cs="Times New Roman"/>
                      <w:b w:val="0"/>
                      <w:bCs/>
                      <w:color w:val="auto"/>
                      <w:sz w:val="21"/>
                      <w:szCs w:val="21"/>
                      <w:highlight w:val="none"/>
                      <w:lang w:val="en-US" w:eastAsia="zh-CN"/>
                    </w:rPr>
                    <w:t>17</w:t>
                  </w:r>
                  <w:r>
                    <w:rPr>
                      <w:rFonts w:hint="default" w:ascii="Times New Roman" w:hAnsi="Times New Roman" w:eastAsia="宋体" w:cs="Times New Roman"/>
                      <w:b w:val="0"/>
                      <w:bCs/>
                      <w:color w:val="auto"/>
                      <w:sz w:val="21"/>
                      <w:szCs w:val="21"/>
                      <w:highlight w:val="none"/>
                    </w:rPr>
                    <w:t>日</w:t>
                  </w:r>
                </w:p>
              </w:tc>
              <w:tc>
                <w:tcPr>
                  <w:tcW w:w="608"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sz w:val="21"/>
                      <w:szCs w:val="21"/>
                      <w:highlight w:val="none"/>
                    </w:rPr>
                    <w:t>VOCs（以非甲烷总烃计）</w:t>
                  </w:r>
                </w:p>
              </w:tc>
              <w:tc>
                <w:tcPr>
                  <w:tcW w:w="591"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b w:val="0"/>
                      <w:bCs/>
                      <w:color w:val="auto"/>
                      <w:sz w:val="21"/>
                      <w:szCs w:val="21"/>
                      <w:highlight w:val="none"/>
                    </w:rPr>
                    <w:t>排放速率</w:t>
                  </w:r>
                  <w:r>
                    <w:rPr>
                      <w:rFonts w:hint="default" w:ascii="Times New Roman" w:hAnsi="Times New Roman" w:eastAsia="宋体" w:cs="Times New Roman"/>
                      <w:b w:val="0"/>
                      <w:bCs/>
                      <w:color w:val="auto"/>
                      <w:sz w:val="21"/>
                      <w:szCs w:val="21"/>
                      <w:highlight w:val="none"/>
                      <w:vertAlign w:val="superscript"/>
                      <w:lang w:val="en-US" w:eastAsia="zh-CN"/>
                    </w:rPr>
                    <w:t>（4）</w:t>
                  </w:r>
                  <w:r>
                    <w:rPr>
                      <w:rFonts w:hint="default" w:ascii="Times New Roman" w:hAnsi="Times New Roman" w:eastAsia="宋体" w:cs="Times New Roman"/>
                      <w:b w:val="0"/>
                      <w:bCs/>
                      <w:color w:val="auto"/>
                      <w:sz w:val="21"/>
                      <w:szCs w:val="21"/>
                      <w:highlight w:val="none"/>
                    </w:rPr>
                    <w:t>（kg/h）</w:t>
                  </w:r>
                </w:p>
              </w:tc>
              <w:tc>
                <w:tcPr>
                  <w:tcW w:w="553"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bidi="ar"/>
                    </w:rPr>
                    <w:t>0.031</w:t>
                  </w:r>
                </w:p>
              </w:tc>
              <w:tc>
                <w:tcPr>
                  <w:tcW w:w="722"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bidi="ar"/>
                    </w:rPr>
                    <w:t>0.033</w:t>
                  </w:r>
                </w:p>
              </w:tc>
              <w:tc>
                <w:tcPr>
                  <w:tcW w:w="518"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bidi="ar"/>
                    </w:rPr>
                    <w:t>0.032</w:t>
                  </w:r>
                </w:p>
              </w:tc>
              <w:tc>
                <w:tcPr>
                  <w:tcW w:w="521"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bidi="ar"/>
                    </w:rPr>
                    <w:t>0.032</w:t>
                  </w:r>
                </w:p>
              </w:tc>
              <w:tc>
                <w:tcPr>
                  <w:tcW w:w="529"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bidi="ar"/>
                    </w:rPr>
                    <w:t>18.8</w:t>
                  </w:r>
                  <w:r>
                    <w:rPr>
                      <w:rFonts w:hint="default" w:ascii="Times New Roman" w:hAnsi="Times New Roman" w:eastAsia="宋体" w:cs="Times New Roman"/>
                      <w:b w:val="0"/>
                      <w:bCs/>
                      <w:color w:val="auto"/>
                      <w:kern w:val="0"/>
                      <w:sz w:val="21"/>
                      <w:szCs w:val="21"/>
                      <w:highlight w:val="none"/>
                      <w:vertAlign w:val="superscript"/>
                      <w:lang w:val="en-US" w:eastAsia="zh-CN" w:bidi="ar"/>
                    </w:rPr>
                    <w:t>（1）</w:t>
                  </w:r>
                </w:p>
              </w:tc>
              <w:tc>
                <w:tcPr>
                  <w:tcW w:w="391" w:type="pc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b w:val="0"/>
                      <w:bCs/>
                      <w:color w:val="auto"/>
                      <w:kern w:val="0"/>
                      <w:sz w:val="21"/>
                      <w:szCs w:val="21"/>
                      <w:highlight w:val="none"/>
                      <w:lang w:val="en-US" w:eastAsia="zh-CN" w:bidi="ar"/>
                    </w:rPr>
                  </w:pPr>
                  <w:r>
                    <w:rPr>
                      <w:rFonts w:hint="default" w:ascii="Times New Roman" w:hAnsi="Times New Roman" w:eastAsia="宋体" w:cs="Times New Roman"/>
                      <w:b w:val="0"/>
                      <w:bCs/>
                      <w:color w:val="auto"/>
                      <w:kern w:val="0"/>
                      <w:sz w:val="21"/>
                      <w:szCs w:val="21"/>
                      <w:highlight w:val="none"/>
                      <w:lang w:val="en-US" w:eastAsia="zh-CN" w:bidi="ar"/>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表7-2有组织废气（油烟）监测结果表可知，成都工业学院宜宾产教融合实训基地建设项目监测点位“1#、2#、3#、4#”食堂西侧排气筒的监测项目“油烟”符合</w:t>
            </w:r>
            <w:r>
              <w:rPr>
                <w:rFonts w:hint="default" w:ascii="Times New Roman" w:hAnsi="Times New Roman" w:eastAsia="宋体" w:cs="Times New Roman"/>
                <w:b w:val="0"/>
                <w:bCs w:val="0"/>
                <w:sz w:val="24"/>
                <w:szCs w:val="24"/>
                <w:highlight w:val="none"/>
              </w:rPr>
              <w:t>《饮食业油烟排放标准》</w:t>
            </w:r>
            <w:r>
              <w:rPr>
                <w:rFonts w:hint="default" w:ascii="Times New Roman" w:hAnsi="Times New Roman" w:eastAsia="宋体" w:cs="Times New Roman"/>
                <w:b w:val="0"/>
                <w:bCs w:val="0"/>
                <w:sz w:val="24"/>
                <w:szCs w:val="24"/>
                <w:highlight w:val="none"/>
                <w:lang w:eastAsia="zh-CN"/>
              </w:rPr>
              <w:t>（</w:t>
            </w:r>
            <w:r>
              <w:rPr>
                <w:rFonts w:hint="default" w:ascii="Times New Roman" w:hAnsi="Times New Roman" w:eastAsia="宋体" w:cs="Times New Roman"/>
                <w:b w:val="0"/>
                <w:bCs w:val="0"/>
                <w:sz w:val="24"/>
                <w:szCs w:val="24"/>
                <w:highlight w:val="none"/>
                <w:lang w:val="en-US" w:eastAsia="zh-CN"/>
              </w:rPr>
              <w:t>试行</w:t>
            </w:r>
            <w:r>
              <w:rPr>
                <w:rFonts w:hint="default" w:ascii="Times New Roman" w:hAnsi="Times New Roman" w:eastAsia="宋体" w:cs="Times New Roman"/>
                <w:b w:val="0"/>
                <w:bCs w:val="0"/>
                <w:sz w:val="24"/>
                <w:szCs w:val="24"/>
                <w:highlight w:val="none"/>
                <w:lang w:eastAsia="zh-CN"/>
              </w:rPr>
              <w:t>）</w:t>
            </w:r>
            <w:r>
              <w:rPr>
                <w:rFonts w:hint="default" w:ascii="Times New Roman" w:hAnsi="Times New Roman" w:eastAsia="宋体" w:cs="Times New Roman"/>
                <w:b w:val="0"/>
                <w:bCs w:val="0"/>
                <w:sz w:val="24"/>
                <w:szCs w:val="24"/>
                <w:highlight w:val="none"/>
              </w:rPr>
              <w:t>（GB 18483-2001）表2排放浓度</w:t>
            </w:r>
            <w:r>
              <w:rPr>
                <w:rFonts w:hint="eastAsia" w:ascii="Times New Roman" w:hAnsi="Times New Roman" w:eastAsia="宋体" w:cs="Times New Roman"/>
                <w:b w:val="0"/>
                <w:bCs w:val="0"/>
                <w:sz w:val="24"/>
                <w:szCs w:val="24"/>
                <w:highlight w:val="none"/>
                <w:lang w:val="en-US" w:eastAsia="zh-CN"/>
              </w:rPr>
              <w:t>和最低去除效率</w:t>
            </w:r>
            <w:r>
              <w:rPr>
                <w:rFonts w:hint="default" w:ascii="Times New Roman" w:hAnsi="Times New Roman" w:eastAsia="宋体" w:cs="Times New Roman"/>
                <w:color w:val="auto"/>
                <w:kern w:val="2"/>
                <w:sz w:val="24"/>
                <w:szCs w:val="24"/>
                <w:highlight w:val="none"/>
                <w:lang w:val="en-US" w:eastAsia="zh-CN"/>
              </w:rPr>
              <w:t>限值。表7-3有组织废气（VOC</w:t>
            </w:r>
            <w:r>
              <w:rPr>
                <w:rFonts w:hint="default" w:ascii="Times New Roman" w:hAnsi="Times New Roman" w:eastAsia="宋体" w:cs="Times New Roman"/>
                <w:color w:val="auto"/>
                <w:kern w:val="2"/>
                <w:sz w:val="24"/>
                <w:szCs w:val="24"/>
                <w:highlight w:val="none"/>
                <w:vertAlign w:val="subscript"/>
                <w:lang w:val="en-US" w:eastAsia="zh-CN"/>
              </w:rPr>
              <w:t>S</w:t>
            </w:r>
            <w:r>
              <w:rPr>
                <w:rFonts w:hint="default" w:ascii="Times New Roman" w:hAnsi="Times New Roman" w:eastAsia="宋体" w:cs="Times New Roman"/>
                <w:color w:val="auto"/>
                <w:kern w:val="2"/>
                <w:sz w:val="24"/>
                <w:szCs w:val="24"/>
                <w:highlight w:val="none"/>
                <w:lang w:val="en-US" w:eastAsia="zh-CN"/>
              </w:rPr>
              <w:t>）监测结果表可知，成都工业学院宜宾产教融合实训基地建设项目监测点位“5#、6#、7#”实验室东侧排气筒的监测项目“VOC</w:t>
            </w:r>
            <w:r>
              <w:rPr>
                <w:rFonts w:hint="default" w:ascii="Times New Roman" w:hAnsi="Times New Roman" w:eastAsia="宋体" w:cs="Times New Roman"/>
                <w:color w:val="auto"/>
                <w:kern w:val="2"/>
                <w:sz w:val="24"/>
                <w:szCs w:val="24"/>
                <w:highlight w:val="none"/>
                <w:vertAlign w:val="subscript"/>
                <w:lang w:val="en-US" w:eastAsia="zh-CN"/>
              </w:rPr>
              <w:t>S</w:t>
            </w:r>
            <w:r>
              <w:rPr>
                <w:rFonts w:hint="default" w:ascii="Times New Roman" w:hAnsi="Times New Roman" w:eastAsia="宋体" w:cs="Times New Roman"/>
                <w:color w:val="auto"/>
                <w:kern w:val="2"/>
                <w:sz w:val="24"/>
                <w:szCs w:val="24"/>
                <w:highlight w:val="none"/>
                <w:lang w:val="en-US" w:eastAsia="zh-CN"/>
              </w:rPr>
              <w:t>”符合</w:t>
            </w:r>
            <w:r>
              <w:rPr>
                <w:rFonts w:hint="default" w:ascii="Times New Roman" w:hAnsi="Times New Roman" w:eastAsia="宋体" w:cs="Times New Roman"/>
                <w:b w:val="0"/>
                <w:bCs w:val="0"/>
                <w:sz w:val="24"/>
                <w:szCs w:val="24"/>
                <w:highlight w:val="none"/>
              </w:rPr>
              <w:t>《</w:t>
            </w:r>
            <w:r>
              <w:rPr>
                <w:rFonts w:hint="default" w:ascii="Times New Roman" w:hAnsi="Times New Roman" w:eastAsia="宋体" w:cs="Times New Roman"/>
                <w:b w:val="0"/>
                <w:bCs w:val="0"/>
                <w:sz w:val="24"/>
                <w:szCs w:val="24"/>
                <w:highlight w:val="none"/>
                <w:lang w:val="en-US" w:eastAsia="zh-CN"/>
              </w:rPr>
              <w:t>大气污染物综合排放标准</w:t>
            </w:r>
            <w:r>
              <w:rPr>
                <w:rFonts w:hint="default" w:ascii="Times New Roman" w:hAnsi="Times New Roman" w:eastAsia="宋体" w:cs="Times New Roman"/>
                <w:b w:val="0"/>
                <w:bCs w:val="0"/>
                <w:sz w:val="24"/>
                <w:szCs w:val="24"/>
                <w:highlight w:val="none"/>
              </w:rPr>
              <w:t>》（GB</w:t>
            </w:r>
            <w:r>
              <w:rPr>
                <w:rFonts w:hint="default" w:ascii="Times New Roman" w:hAnsi="Times New Roman" w:eastAsia="宋体" w:cs="Times New Roman"/>
                <w:b w:val="0"/>
                <w:bCs w:val="0"/>
                <w:sz w:val="24"/>
                <w:szCs w:val="24"/>
                <w:highlight w:val="none"/>
                <w:lang w:val="en-US" w:eastAsia="zh-CN"/>
              </w:rPr>
              <w:t>16297-1996</w:t>
            </w:r>
            <w:r>
              <w:rPr>
                <w:rFonts w:hint="default" w:ascii="Times New Roman" w:hAnsi="Times New Roman" w:eastAsia="宋体" w:cs="Times New Roman"/>
                <w:b w:val="0"/>
                <w:bCs w:val="0"/>
                <w:sz w:val="24"/>
                <w:szCs w:val="24"/>
                <w:highlight w:val="none"/>
              </w:rPr>
              <w:t>）表</w:t>
            </w:r>
            <w:r>
              <w:rPr>
                <w:rFonts w:hint="default" w:ascii="Times New Roman" w:hAnsi="Times New Roman" w:eastAsia="宋体" w:cs="Times New Roman"/>
                <w:b w:val="0"/>
                <w:bCs w:val="0"/>
                <w:sz w:val="24"/>
                <w:szCs w:val="24"/>
                <w:highlight w:val="none"/>
                <w:lang w:val="en-US" w:eastAsia="zh-CN"/>
              </w:rPr>
              <w:t>2二级标准</w:t>
            </w:r>
            <w:r>
              <w:rPr>
                <w:rFonts w:hint="default" w:ascii="Times New Roman" w:hAnsi="Times New Roman" w:eastAsia="宋体" w:cs="Times New Roman"/>
                <w:color w:val="auto"/>
                <w:kern w:val="2"/>
                <w:sz w:val="24"/>
                <w:szCs w:val="24"/>
                <w:highlight w:val="none"/>
                <w:lang w:val="en-US" w:eastAsia="zh-CN"/>
              </w:rPr>
              <w:t>浓度限值</w:t>
            </w: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7.2噪声监测结果</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噪声监测结果见表7-4。</w:t>
            </w:r>
          </w:p>
          <w:p>
            <w:pPr>
              <w:keepNext w:val="0"/>
              <w:keepLines w:val="0"/>
              <w:pageBreakBefore w:val="0"/>
              <w:widowControl/>
              <w:kinsoku/>
              <w:wordWrap/>
              <w:overflowPunct/>
              <w:topLinePunct w:val="0"/>
              <w:autoSpaceDE/>
              <w:autoSpaceDN/>
              <w:bidi w:val="0"/>
              <w:adjustRightInd w:val="0"/>
              <w:snapToGrid w:val="0"/>
              <w:spacing w:after="0" w:line="240" w:lineRule="atLeast"/>
              <w:ind w:firstLine="422" w:firstLineChars="20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表7-4噪声监测结果见表</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7"/>
              <w:gridCol w:w="2309"/>
              <w:gridCol w:w="1510"/>
              <w:gridCol w:w="1962"/>
              <w:gridCol w:w="9"/>
              <w:gridCol w:w="1751"/>
              <w:gridCol w:w="9"/>
              <w:gridCol w:w="1470"/>
              <w:gridCol w:w="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4" w:type="pct"/>
                <w:trHeight w:val="505" w:hRule="atLeast"/>
                <w:jc w:val="center"/>
              </w:trPr>
              <w:tc>
                <w:tcPr>
                  <w:tcW w:w="1276" w:type="pct"/>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rPr>
                    <w:t>检测</w:t>
                  </w:r>
                  <w:r>
                    <w:rPr>
                      <w:rFonts w:hint="default" w:ascii="Times New Roman" w:hAnsi="Times New Roman" w:eastAsia="宋体" w:cs="Times New Roman"/>
                      <w:b w:val="0"/>
                      <w:bCs/>
                      <w:sz w:val="21"/>
                      <w:szCs w:val="21"/>
                      <w:highlight w:val="none"/>
                      <w:lang w:val="en-US" w:eastAsia="zh-CN"/>
                    </w:rPr>
                    <w:t>日期</w:t>
                  </w:r>
                </w:p>
              </w:tc>
              <w:tc>
                <w:tcPr>
                  <w:tcW w:w="835" w:type="pct"/>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检测点位</w:t>
                  </w:r>
                </w:p>
              </w:tc>
              <w:tc>
                <w:tcPr>
                  <w:tcW w:w="1090" w:type="pct"/>
                  <w:gridSpan w:val="2"/>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rPr>
                    <w:t>检测结果/[dB(A)]</w:t>
                  </w:r>
                </w:p>
              </w:tc>
              <w:tc>
                <w:tcPr>
                  <w:tcW w:w="973" w:type="pct"/>
                  <w:gridSpan w:val="2"/>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限值</w:t>
                  </w:r>
                </w:p>
              </w:tc>
              <w:tc>
                <w:tcPr>
                  <w:tcW w:w="818" w:type="pct"/>
                  <w:gridSpan w:val="2"/>
                  <w:vMerge w:val="restart"/>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wBefore w:w="4" w:type="pct"/>
                <w:trHeight w:val="505" w:hRule="atLeast"/>
                <w:jc w:val="center"/>
              </w:trPr>
              <w:tc>
                <w:tcPr>
                  <w:tcW w:w="1276"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rPr>
                  </w:pPr>
                </w:p>
              </w:tc>
              <w:tc>
                <w:tcPr>
                  <w:tcW w:w="83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rPr>
                  </w:pPr>
                </w:p>
              </w:tc>
              <w:tc>
                <w:tcPr>
                  <w:tcW w:w="1090" w:type="pct"/>
                  <w:gridSpan w:val="2"/>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昼间</w:t>
                  </w:r>
                </w:p>
              </w:tc>
              <w:tc>
                <w:tcPr>
                  <w:tcW w:w="973" w:type="pct"/>
                  <w:gridSpan w:val="2"/>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p>
              </w:tc>
              <w:tc>
                <w:tcPr>
                  <w:tcW w:w="818" w:type="pct"/>
                  <w:gridSpan w:val="2"/>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4" w:type="pct"/>
                <w:trHeight w:val="505" w:hRule="atLeast"/>
                <w:jc w:val="center"/>
              </w:trPr>
              <w:tc>
                <w:tcPr>
                  <w:tcW w:w="1276"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2021年11月16日</w:t>
                  </w:r>
                </w:p>
              </w:tc>
              <w:tc>
                <w:tcPr>
                  <w:tcW w:w="8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1#</w:t>
                  </w:r>
                </w:p>
              </w:tc>
              <w:tc>
                <w:tcPr>
                  <w:tcW w:w="1090"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50</w:t>
                  </w:r>
                </w:p>
              </w:tc>
              <w:tc>
                <w:tcPr>
                  <w:tcW w:w="973" w:type="pct"/>
                  <w:gridSpan w:val="2"/>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kern w:val="0"/>
                      <w:sz w:val="21"/>
                      <w:szCs w:val="21"/>
                      <w:highlight w:val="none"/>
                      <w:lang w:val="en-US" w:eastAsia="zh-CN"/>
                    </w:rPr>
                  </w:pPr>
                  <w:r>
                    <w:rPr>
                      <w:rFonts w:hint="default" w:ascii="Times New Roman" w:hAnsi="Times New Roman" w:eastAsia="宋体" w:cs="Times New Roman"/>
                      <w:b w:val="0"/>
                      <w:bCs/>
                      <w:kern w:val="0"/>
                      <w:sz w:val="21"/>
                      <w:szCs w:val="21"/>
                      <w:highlight w:val="none"/>
                      <w:lang w:val="en-US" w:eastAsia="zh-CN"/>
                    </w:rPr>
                    <w:t>60</w:t>
                  </w:r>
                </w:p>
              </w:tc>
              <w:tc>
                <w:tcPr>
                  <w:tcW w:w="818"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4" w:type="pct"/>
                <w:trHeight w:val="505" w:hRule="atLeast"/>
                <w:jc w:val="center"/>
              </w:trPr>
              <w:tc>
                <w:tcPr>
                  <w:tcW w:w="1276"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rPr>
                  </w:pPr>
                </w:p>
              </w:tc>
              <w:tc>
                <w:tcPr>
                  <w:tcW w:w="8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2#</w:t>
                  </w:r>
                </w:p>
              </w:tc>
              <w:tc>
                <w:tcPr>
                  <w:tcW w:w="1090"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52</w:t>
                  </w:r>
                </w:p>
              </w:tc>
              <w:tc>
                <w:tcPr>
                  <w:tcW w:w="973"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kern w:val="0"/>
                      <w:sz w:val="21"/>
                      <w:szCs w:val="21"/>
                      <w:highlight w:val="none"/>
                      <w:lang w:val="en-US" w:eastAsia="zh-CN"/>
                    </w:rPr>
                  </w:pPr>
                </w:p>
              </w:tc>
              <w:tc>
                <w:tcPr>
                  <w:tcW w:w="818"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4" w:type="pct"/>
                <w:trHeight w:val="505" w:hRule="atLeast"/>
                <w:jc w:val="center"/>
              </w:trPr>
              <w:tc>
                <w:tcPr>
                  <w:tcW w:w="1276"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rPr>
                  </w:pPr>
                </w:p>
              </w:tc>
              <w:tc>
                <w:tcPr>
                  <w:tcW w:w="8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3#</w:t>
                  </w:r>
                </w:p>
              </w:tc>
              <w:tc>
                <w:tcPr>
                  <w:tcW w:w="1090"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52</w:t>
                  </w:r>
                </w:p>
              </w:tc>
              <w:tc>
                <w:tcPr>
                  <w:tcW w:w="973"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kern w:val="0"/>
                      <w:sz w:val="21"/>
                      <w:szCs w:val="21"/>
                      <w:highlight w:val="none"/>
                      <w:lang w:val="en-US" w:eastAsia="zh-CN"/>
                    </w:rPr>
                  </w:pPr>
                </w:p>
              </w:tc>
              <w:tc>
                <w:tcPr>
                  <w:tcW w:w="818"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Before w:val="1"/>
                <w:wBefore w:w="4" w:type="pct"/>
                <w:trHeight w:val="505" w:hRule="atLeast"/>
                <w:jc w:val="center"/>
              </w:trPr>
              <w:tc>
                <w:tcPr>
                  <w:tcW w:w="1276"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rPr>
                  </w:pPr>
                </w:p>
              </w:tc>
              <w:tc>
                <w:tcPr>
                  <w:tcW w:w="8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4#</w:t>
                  </w:r>
                </w:p>
              </w:tc>
              <w:tc>
                <w:tcPr>
                  <w:tcW w:w="1090"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52</w:t>
                  </w:r>
                </w:p>
              </w:tc>
              <w:tc>
                <w:tcPr>
                  <w:tcW w:w="973"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kern w:val="0"/>
                      <w:sz w:val="21"/>
                      <w:szCs w:val="21"/>
                      <w:highlight w:val="none"/>
                      <w:lang w:val="en-US" w:eastAsia="zh-CN"/>
                    </w:rPr>
                  </w:pPr>
                </w:p>
              </w:tc>
              <w:tc>
                <w:tcPr>
                  <w:tcW w:w="818"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5" w:type="pct"/>
                <w:trHeight w:val="505" w:hRule="atLeast"/>
                <w:jc w:val="center"/>
              </w:trPr>
              <w:tc>
                <w:tcPr>
                  <w:tcW w:w="1281" w:type="pct"/>
                  <w:gridSpan w:val="2"/>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2021年11月17日</w:t>
                  </w:r>
                </w:p>
              </w:tc>
              <w:tc>
                <w:tcPr>
                  <w:tcW w:w="8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1#</w:t>
                  </w:r>
                </w:p>
              </w:tc>
              <w:tc>
                <w:tcPr>
                  <w:tcW w:w="10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53</w:t>
                  </w:r>
                </w:p>
              </w:tc>
              <w:tc>
                <w:tcPr>
                  <w:tcW w:w="973" w:type="pct"/>
                  <w:gridSpan w:val="2"/>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kern w:val="0"/>
                      <w:sz w:val="21"/>
                      <w:szCs w:val="21"/>
                      <w:highlight w:val="none"/>
                      <w:lang w:val="en-US" w:eastAsia="zh-CN"/>
                    </w:rPr>
                  </w:pPr>
                  <w:r>
                    <w:rPr>
                      <w:rFonts w:hint="default" w:ascii="Times New Roman" w:hAnsi="Times New Roman" w:eastAsia="宋体" w:cs="Times New Roman"/>
                      <w:b w:val="0"/>
                      <w:bCs/>
                      <w:kern w:val="0"/>
                      <w:sz w:val="21"/>
                      <w:szCs w:val="21"/>
                      <w:highlight w:val="none"/>
                      <w:lang w:val="en-US" w:eastAsia="zh-CN"/>
                    </w:rPr>
                    <w:t>60</w:t>
                  </w:r>
                </w:p>
              </w:tc>
              <w:tc>
                <w:tcPr>
                  <w:tcW w:w="818"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5" w:type="pct"/>
                <w:trHeight w:val="505" w:hRule="atLeast"/>
                <w:jc w:val="center"/>
              </w:trPr>
              <w:tc>
                <w:tcPr>
                  <w:tcW w:w="1281"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rPr>
                  </w:pPr>
                </w:p>
              </w:tc>
              <w:tc>
                <w:tcPr>
                  <w:tcW w:w="8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2#</w:t>
                  </w:r>
                </w:p>
              </w:tc>
              <w:tc>
                <w:tcPr>
                  <w:tcW w:w="10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52</w:t>
                  </w:r>
                </w:p>
              </w:tc>
              <w:tc>
                <w:tcPr>
                  <w:tcW w:w="973"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kern w:val="0"/>
                      <w:sz w:val="21"/>
                      <w:szCs w:val="21"/>
                      <w:highlight w:val="none"/>
                      <w:lang w:val="en-US" w:eastAsia="zh-CN"/>
                    </w:rPr>
                  </w:pPr>
                </w:p>
              </w:tc>
              <w:tc>
                <w:tcPr>
                  <w:tcW w:w="818"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5" w:type="pct"/>
                <w:trHeight w:val="505" w:hRule="atLeast"/>
                <w:jc w:val="center"/>
              </w:trPr>
              <w:tc>
                <w:tcPr>
                  <w:tcW w:w="1281"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rPr>
                  </w:pPr>
                </w:p>
              </w:tc>
              <w:tc>
                <w:tcPr>
                  <w:tcW w:w="8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3#</w:t>
                  </w:r>
                </w:p>
              </w:tc>
              <w:tc>
                <w:tcPr>
                  <w:tcW w:w="10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53</w:t>
                  </w:r>
                </w:p>
              </w:tc>
              <w:tc>
                <w:tcPr>
                  <w:tcW w:w="973"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kern w:val="0"/>
                      <w:sz w:val="21"/>
                      <w:szCs w:val="21"/>
                      <w:highlight w:val="none"/>
                      <w:lang w:val="en-US" w:eastAsia="zh-CN"/>
                    </w:rPr>
                  </w:pPr>
                </w:p>
              </w:tc>
              <w:tc>
                <w:tcPr>
                  <w:tcW w:w="818"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5" w:type="pct"/>
                <w:trHeight w:val="505" w:hRule="atLeast"/>
                <w:jc w:val="center"/>
              </w:trPr>
              <w:tc>
                <w:tcPr>
                  <w:tcW w:w="1281"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rPr>
                  </w:pPr>
                </w:p>
              </w:tc>
              <w:tc>
                <w:tcPr>
                  <w:tcW w:w="83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4#</w:t>
                  </w:r>
                </w:p>
              </w:tc>
              <w:tc>
                <w:tcPr>
                  <w:tcW w:w="10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51</w:t>
                  </w:r>
                </w:p>
              </w:tc>
              <w:tc>
                <w:tcPr>
                  <w:tcW w:w="973"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kern w:val="0"/>
                      <w:sz w:val="21"/>
                      <w:szCs w:val="21"/>
                      <w:highlight w:val="none"/>
                      <w:lang w:val="en-US" w:eastAsia="zh-CN"/>
                    </w:rPr>
                  </w:pPr>
                </w:p>
              </w:tc>
              <w:tc>
                <w:tcPr>
                  <w:tcW w:w="818"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符合</w:t>
                  </w:r>
                </w:p>
              </w:tc>
            </w:tr>
          </w:tbl>
          <w:p>
            <w:pPr>
              <w:pStyle w:val="35"/>
              <w:rPr>
                <w:rFonts w:hint="default" w:ascii="Times New Roman" w:hAnsi="Times New Roman" w:eastAsia="宋体" w:cs="Times New Roman"/>
                <w:sz w:val="24"/>
                <w:szCs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由表7-4噪声监测结果表得知，成都工业学院宜宾产教融合实训基地建设项目检测期间该项目1#-4#</w:t>
            </w:r>
            <w:r>
              <w:rPr>
                <w:rFonts w:hint="eastAsia" w:ascii="Times New Roman" w:hAnsi="Times New Roman" w:eastAsia="宋体" w:cs="Times New Roman"/>
                <w:color w:val="auto"/>
                <w:kern w:val="2"/>
                <w:sz w:val="24"/>
                <w:szCs w:val="24"/>
                <w:highlight w:val="none"/>
                <w:lang w:val="en-US" w:eastAsia="zh-CN"/>
              </w:rPr>
              <w:t>昼间</w:t>
            </w:r>
            <w:r>
              <w:rPr>
                <w:rFonts w:hint="default" w:ascii="Times New Roman" w:hAnsi="Times New Roman" w:eastAsia="宋体" w:cs="Times New Roman"/>
                <w:color w:val="auto"/>
                <w:kern w:val="2"/>
                <w:sz w:val="24"/>
                <w:szCs w:val="24"/>
                <w:highlight w:val="none"/>
                <w:lang w:val="en-US" w:eastAsia="zh-CN"/>
              </w:rPr>
              <w:t>噪声检测结果符合《工业企业厂界环境噪声排放标准》（GB12348-2008）表1中2类声功能区噪声的限值要求。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Lines="0" w:afterAutospacing="0" w:line="360" w:lineRule="auto"/>
              <w:ind w:left="0" w:leftChars="0" w:right="0" w:rightChars="0" w:firstLine="480"/>
              <w:jc w:val="both"/>
              <w:textAlignment w:val="auto"/>
              <w:rPr>
                <w:rFonts w:hint="default" w:ascii="Times New Roman" w:hAnsi="Times New Roman" w:eastAsia="宋体" w:cs="Times New Roman"/>
                <w:color w:val="auto"/>
                <w:kern w:val="2"/>
                <w:sz w:val="24"/>
                <w:szCs w:val="24"/>
                <w:highlight w:val="none"/>
                <w:lang w:val="en-US" w:eastAsia="zh-CN"/>
              </w:rPr>
            </w:pPr>
          </w:p>
          <w:p>
            <w:pPr>
              <w:pStyle w:val="23"/>
              <w:rPr>
                <w:rFonts w:hint="default" w:ascii="Times New Roman" w:hAnsi="Times New Roman" w:eastAsia="宋体" w:cs="Times New Roman"/>
                <w:sz w:val="24"/>
                <w:szCs w:val="24"/>
                <w:highlight w:val="none"/>
                <w:lang w:val="en-US" w:eastAsia="zh-CN"/>
              </w:rPr>
            </w:pPr>
          </w:p>
          <w:p>
            <w:pPr>
              <w:pStyle w:val="35"/>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szCs w:val="24"/>
                <w:highlight w:val="none"/>
                <w:lang w:val="en-US" w:eastAsia="zh-CN"/>
              </w:rPr>
            </w:pPr>
          </w:p>
          <w:p>
            <w:pPr>
              <w:pStyle w:val="35"/>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szCs w:val="24"/>
                <w:highlight w:val="none"/>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szCs w:val="24"/>
                <w:highlight w:val="none"/>
                <w:lang w:val="en-US" w:eastAsia="zh-CN"/>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szCs w:val="24"/>
                <w:highlight w:val="none"/>
                <w:lang w:val="en-US" w:eastAsia="zh-CN"/>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auto"/>
                <w:sz w:val="24"/>
                <w:szCs w:val="24"/>
                <w:highlight w:val="none"/>
                <w:lang w:val="en-US" w:eastAsia="zh-CN"/>
              </w:rPr>
            </w:pPr>
          </w:p>
        </w:tc>
      </w:tr>
    </w:tbl>
    <w:p>
      <w:pPr>
        <w:spacing w:after="0" w:afterLines="0" w:line="360" w:lineRule="auto"/>
        <w:rPr>
          <w:rFonts w:hint="default" w:ascii="Times New Roman" w:hAnsi="Times New Roman" w:eastAsia="仿宋_GB2312" w:cs="Times New Roman"/>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Times New Roman" w:hAnsi="Times New Roman" w:eastAsia="宋体" w:cs="Times New Roman"/>
          <w:color w:val="auto"/>
          <w:highlight w:val="none"/>
          <w:lang w:val="en-US" w:eastAsia="zh-CN"/>
        </w:rPr>
      </w:pPr>
      <w:bookmarkStart w:id="58" w:name="_Toc10668"/>
      <w:r>
        <w:rPr>
          <w:rFonts w:hint="eastAsia" w:asciiTheme="minorEastAsia" w:hAnsiTheme="minorEastAsia" w:eastAsiaTheme="minorEastAsia" w:cstheme="minorEastAsia"/>
          <w:b/>
          <w:bCs/>
          <w:color w:val="auto"/>
          <w:sz w:val="28"/>
          <w:szCs w:val="28"/>
          <w:highlight w:val="none"/>
        </w:rPr>
        <w:t>表八</w:t>
      </w:r>
      <w:r>
        <w:rPr>
          <w:rFonts w:hint="eastAsia" w:asciiTheme="minorEastAsia" w:hAnsiTheme="minorEastAsia" w:eastAsiaTheme="minorEastAsia" w:cstheme="minorEastAsia"/>
          <w:b/>
          <w:bCs/>
          <w:color w:val="auto"/>
          <w:sz w:val="28"/>
          <w:szCs w:val="28"/>
          <w:highlight w:val="none"/>
          <w:lang w:val="en-US" w:eastAsia="zh-CN"/>
        </w:rPr>
        <w:t xml:space="preserve">  </w:t>
      </w:r>
      <w:r>
        <w:rPr>
          <w:rFonts w:hint="eastAsia" w:asciiTheme="minorEastAsia" w:hAnsiTheme="minorEastAsia" w:eastAsiaTheme="minorEastAsia" w:cstheme="minorEastAsia"/>
          <w:b/>
          <w:bCs/>
          <w:color w:val="auto"/>
          <w:sz w:val="28"/>
          <w:szCs w:val="28"/>
          <w:highlight w:val="none"/>
        </w:rPr>
        <w:t>验收监测结论：</w:t>
      </w:r>
      <w:bookmarkEnd w:id="58"/>
    </w:p>
    <w:tbl>
      <w:tblPr>
        <w:tblStyle w:val="24"/>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针对成都工业学院宜宾产教融合实训基地建设项目</w:t>
            </w:r>
            <w:r>
              <w:rPr>
                <w:rFonts w:hint="default" w:ascii="Times New Roman" w:hAnsi="Times New Roman" w:eastAsia="宋体" w:cs="Times New Roman"/>
                <w:sz w:val="24"/>
                <w:szCs w:val="24"/>
                <w:lang w:val="en-US" w:eastAsia="zh-CN"/>
              </w:rPr>
              <w:t>开展的</w:t>
            </w:r>
            <w:r>
              <w:rPr>
                <w:rFonts w:hint="default" w:ascii="Times New Roman" w:hAnsi="Times New Roman" w:eastAsia="宋体" w:cs="Times New Roman"/>
                <w:sz w:val="24"/>
                <w:szCs w:val="24"/>
                <w:lang w:eastAsia="zh-CN"/>
              </w:rPr>
              <w:t>竣工环境保护验收监测所得结论如下：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8.1项目</w:t>
            </w:r>
            <w:r>
              <w:rPr>
                <w:rFonts w:hint="default" w:ascii="Times New Roman" w:hAnsi="Times New Roman" w:eastAsia="宋体" w:cs="Times New Roman"/>
                <w:sz w:val="24"/>
                <w:szCs w:val="24"/>
                <w:lang w:eastAsia="zh-CN"/>
              </w:rPr>
              <w:t>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lang w:eastAsia="zh-CN"/>
              </w:rPr>
              <w:t>2本验收监测表是针对20</w:t>
            </w:r>
            <w:r>
              <w:rPr>
                <w:rFonts w:hint="default" w:ascii="Times New Roman" w:hAnsi="Times New Roman" w:eastAsia="宋体" w:cs="Times New Roman"/>
                <w:sz w:val="24"/>
                <w:szCs w:val="24"/>
                <w:lang w:val="en-US" w:eastAsia="zh-CN"/>
              </w:rPr>
              <w:t>21</w:t>
            </w:r>
            <w:r>
              <w:rPr>
                <w:rFonts w:hint="default" w:ascii="Times New Roman" w:hAnsi="Times New Roman" w:eastAsia="宋体" w:cs="Times New Roman"/>
                <w:sz w:val="24"/>
                <w:szCs w:val="24"/>
                <w:lang w:eastAsia="zh-CN"/>
              </w:rPr>
              <w:t>年</w:t>
            </w:r>
            <w:r>
              <w:rPr>
                <w:rFonts w:hint="default" w:ascii="Times New Roman" w:hAnsi="Times New Roman" w:eastAsia="宋体" w:cs="Times New Roman"/>
                <w:sz w:val="24"/>
                <w:szCs w:val="24"/>
                <w:lang w:val="en-US" w:eastAsia="zh-CN"/>
              </w:rPr>
              <w:t>11月16日-17日</w:t>
            </w:r>
            <w:r>
              <w:rPr>
                <w:rFonts w:hint="default" w:ascii="Times New Roman" w:hAnsi="Times New Roman" w:eastAsia="宋体" w:cs="Times New Roman"/>
                <w:sz w:val="24"/>
                <w:szCs w:val="24"/>
                <w:lang w:eastAsia="zh-CN"/>
              </w:rPr>
              <w:t>运行环境条件下开展验收监测所得出的结论。验收监测结论如下：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lang w:eastAsia="zh-CN"/>
              </w:rPr>
              <w:t>3各类污染物及排放情况：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本项目运营期产生的</w:t>
            </w:r>
            <w:r>
              <w:rPr>
                <w:rFonts w:hint="default" w:ascii="Times New Roman" w:hAnsi="Times New Roman" w:eastAsia="宋体" w:cs="Times New Roman"/>
                <w:sz w:val="24"/>
                <w:szCs w:val="24"/>
                <w:lang w:val="en-US" w:eastAsia="zh-CN"/>
              </w:rPr>
              <w:t>食堂油烟和实验室废气污染物</w:t>
            </w:r>
            <w:r>
              <w:rPr>
                <w:rFonts w:hint="default" w:ascii="Times New Roman" w:hAnsi="Times New Roman" w:eastAsia="宋体" w:cs="Times New Roman"/>
                <w:sz w:val="24"/>
                <w:szCs w:val="24"/>
              </w:rPr>
              <w:t>，经严格执行环评中提出的治理措施后，污染均实现达标排放。</w:t>
            </w:r>
            <w:r>
              <w:rPr>
                <w:rFonts w:hint="default" w:ascii="Times New Roman" w:hAnsi="Times New Roman" w:eastAsia="宋体" w:cs="Times New Roman"/>
                <w:sz w:val="24"/>
                <w:szCs w:val="24"/>
                <w:lang w:val="en-US" w:eastAsia="zh-CN"/>
              </w:rPr>
              <w:t>验收监测期间，项目实验室废气VOCS</w:t>
            </w:r>
            <w:r>
              <w:rPr>
                <w:rFonts w:hint="default" w:ascii="Times New Roman" w:hAnsi="Times New Roman" w:eastAsia="宋体" w:cs="Times New Roman"/>
                <w:sz w:val="24"/>
                <w:szCs w:val="24"/>
                <w:lang w:eastAsia="zh-CN"/>
              </w:rPr>
              <w:t>浓度及排放速率符合</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大气污染物综合排放标准</w:t>
            </w:r>
            <w:r>
              <w:rPr>
                <w:rFonts w:hint="default" w:ascii="Times New Roman" w:hAnsi="Times New Roman" w:eastAsia="宋体" w:cs="Times New Roman"/>
                <w:sz w:val="24"/>
                <w:szCs w:val="24"/>
              </w:rPr>
              <w:t>》（GB</w:t>
            </w:r>
            <w:r>
              <w:rPr>
                <w:rFonts w:hint="default" w:ascii="Times New Roman" w:hAnsi="Times New Roman" w:eastAsia="宋体" w:cs="Times New Roman"/>
                <w:sz w:val="24"/>
                <w:szCs w:val="24"/>
                <w:lang w:val="en-US" w:eastAsia="zh-CN"/>
              </w:rPr>
              <w:t>16297-1996</w:t>
            </w:r>
            <w:r>
              <w:rPr>
                <w:rFonts w:hint="default" w:ascii="Times New Roman" w:hAnsi="Times New Roman" w:eastAsia="宋体" w:cs="Times New Roman"/>
                <w:sz w:val="24"/>
                <w:szCs w:val="24"/>
              </w:rPr>
              <w:t>）表</w:t>
            </w:r>
            <w:r>
              <w:rPr>
                <w:rFonts w:hint="default" w:ascii="Times New Roman" w:hAnsi="Times New Roman" w:eastAsia="宋体" w:cs="Times New Roman"/>
                <w:sz w:val="24"/>
                <w:szCs w:val="24"/>
                <w:lang w:val="en-US" w:eastAsia="zh-CN"/>
              </w:rPr>
              <w:t>2二级标准排放监控浓度限值。食堂油烟</w:t>
            </w:r>
            <w:r>
              <w:rPr>
                <w:rFonts w:hint="default" w:ascii="Times New Roman" w:hAnsi="Times New Roman" w:eastAsia="宋体" w:cs="Times New Roman"/>
                <w:sz w:val="24"/>
                <w:szCs w:val="24"/>
                <w:lang w:eastAsia="zh-CN"/>
              </w:rPr>
              <w:t>浓度</w:t>
            </w:r>
            <w:r>
              <w:rPr>
                <w:rFonts w:hint="default" w:ascii="Times New Roman" w:hAnsi="Times New Roman" w:eastAsia="宋体" w:cs="Times New Roman"/>
                <w:sz w:val="24"/>
                <w:szCs w:val="24"/>
                <w:lang w:val="en-US" w:eastAsia="zh-CN"/>
              </w:rPr>
              <w:t>符合《饮食业油烟排放标准》（试行）（GB 18483-2001）表2排放浓度限值。</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运营期水污染物主要有生活污水、食堂废水、实验废水。食堂废水经隔油池处理、实验废水经中和池处理后与其他污水经预处理池处理达到《污水综合排放标准》（GB8978-1996）三级标准后，排入城市污水管网进入宜宾市临港白沙城镇污水处理厂（总处理规模：5.5万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/d）处理达到《四川省岷江、沱江流域水污染物排放标准》（DB51/2311-2016）中“城镇污水处理厂”排放限值标准后，排入长江。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项目设备安置在学校内地下车库内专门的设备房内，采取减振消声等降噪措施，交通噪声通过加强车辆管理，禁止鸣笛等措施降低噪声影响；学校运营期产生的社会噪声包括日常广播噪声等经距离衰减及绿化吸附后，对周边声环境影响较小</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项目1#、2#、3#、4#厂界噪声昼间检测结果均满足《工业企业厂界环境噪声排放标准》（GB 12348-2008）表1中2类标准要求。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（4）固废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项目营运期间的固体废弃物主要是生活垃圾、厨余垃圾、实验固废、垃圾垃圾及预处理池污泥等，生活垃圾与厨余垃圾收集后由环卫部门定期清运，隔油池及预处理池污泥委托环卫部门定期清掏清运；实验固废和医疗垃圾作为危险废物委托具有处置资质的单位进行处置。项目运营期固废均得到了妥善处置，</w:t>
            </w:r>
            <w:r>
              <w:rPr>
                <w:rFonts w:hint="default" w:ascii="Times New Roman" w:hAnsi="Times New Roman" w:eastAsia="宋体" w:cs="Times New Roman"/>
                <w:sz w:val="24"/>
                <w:szCs w:val="24"/>
                <w:lang w:val="en-US" w:eastAsia="zh-CN"/>
              </w:rPr>
              <w:t>不会造成二次污染</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8.5结论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综上所述，</w:t>
            </w:r>
            <w:r>
              <w:rPr>
                <w:rFonts w:hint="default" w:ascii="Times New Roman" w:hAnsi="Times New Roman" w:eastAsia="宋体" w:cs="Times New Roman"/>
                <w:sz w:val="24"/>
                <w:szCs w:val="24"/>
                <w:lang w:eastAsia="zh-CN"/>
              </w:rPr>
              <w:t>成都工业学院宜宾产教融合实训基地建设项目</w:t>
            </w:r>
            <w:r>
              <w:rPr>
                <w:rFonts w:hint="default" w:ascii="Times New Roman" w:hAnsi="Times New Roman" w:eastAsia="宋体" w:cs="Times New Roman"/>
                <w:sz w:val="24"/>
                <w:szCs w:val="24"/>
                <w:lang w:val="en-US" w:eastAsia="zh-CN"/>
              </w:rPr>
              <w:t>按照规定要求履行了环评手续</w:t>
            </w:r>
            <w:r>
              <w:rPr>
                <w:rFonts w:hint="default" w:ascii="Times New Roman" w:hAnsi="Times New Roman" w:eastAsia="宋体" w:cs="Times New Roman"/>
                <w:sz w:val="24"/>
                <w:szCs w:val="24"/>
              </w:rPr>
              <w:t>，各项污染防治措施按要求落到了实处，废气、</w:t>
            </w:r>
            <w:r>
              <w:rPr>
                <w:rFonts w:hint="default" w:ascii="Times New Roman" w:hAnsi="Times New Roman" w:eastAsia="宋体" w:cs="Times New Roman"/>
                <w:sz w:val="24"/>
                <w:szCs w:val="24"/>
                <w:lang w:eastAsia="zh-CN"/>
              </w:rPr>
              <w:t>噪声</w:t>
            </w:r>
            <w:r>
              <w:rPr>
                <w:rFonts w:hint="default" w:ascii="Times New Roman" w:hAnsi="Times New Roman" w:eastAsia="宋体" w:cs="Times New Roman"/>
                <w:sz w:val="24"/>
                <w:szCs w:val="24"/>
              </w:rPr>
              <w:t>达标排放，</w:t>
            </w:r>
            <w:r>
              <w:rPr>
                <w:rFonts w:hint="default" w:ascii="Times New Roman" w:hAnsi="Times New Roman" w:eastAsia="宋体" w:cs="Times New Roman"/>
                <w:sz w:val="24"/>
                <w:szCs w:val="24"/>
                <w:lang w:eastAsia="zh-CN"/>
              </w:rPr>
              <w:t>废水、</w:t>
            </w:r>
            <w:r>
              <w:rPr>
                <w:rFonts w:hint="default" w:ascii="Times New Roman" w:hAnsi="Times New Roman" w:eastAsia="宋体" w:cs="Times New Roman"/>
                <w:sz w:val="24"/>
                <w:szCs w:val="24"/>
              </w:rPr>
              <w:t>固体废物合理处置，环境管理体系健全，完成环评及其批复提出的各项环保设施、措施和要求</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rPr>
            </w:pPr>
            <w:bookmarkStart w:id="59" w:name="_Toc30936"/>
            <w:bookmarkStart w:id="60" w:name="_Toc27124"/>
            <w:bookmarkStart w:id="61" w:name="_Toc19074"/>
            <w:bookmarkStart w:id="62" w:name="_Toc864"/>
            <w:bookmarkStart w:id="63" w:name="_Toc2967"/>
            <w:r>
              <w:rPr>
                <w:rFonts w:hint="default" w:ascii="Times New Roman" w:hAnsi="Times New Roman" w:eastAsia="宋体" w:cs="Times New Roman"/>
                <w:sz w:val="24"/>
                <w:szCs w:val="24"/>
                <w:lang w:val="en-US" w:eastAsia="zh-CN"/>
              </w:rPr>
              <w:t>8.6</w:t>
            </w:r>
            <w:r>
              <w:rPr>
                <w:rFonts w:hint="default" w:ascii="Times New Roman" w:hAnsi="Times New Roman" w:eastAsia="宋体" w:cs="Times New Roman"/>
                <w:sz w:val="24"/>
                <w:szCs w:val="24"/>
              </w:rPr>
              <w:t>建议</w:t>
            </w:r>
            <w:bookmarkEnd w:id="59"/>
            <w:bookmarkEnd w:id="60"/>
            <w:bookmarkEnd w:id="61"/>
            <w:bookmarkEnd w:id="62"/>
            <w:bookmarkEnd w:id="63"/>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8.5.1加强日常环境管理工作，确保废水、废气达标排放，避免污染环境；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8.5.2认真落实各项事故应急处理措施，加强应急事故演练，避免污染事故的发生；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8.5.3对</w:t>
            </w:r>
            <w:r>
              <w:rPr>
                <w:rFonts w:hint="eastAsia" w:ascii="Times New Roman" w:hAnsi="Times New Roman" w:eastAsia="宋体" w:cs="Times New Roman"/>
                <w:sz w:val="24"/>
                <w:szCs w:val="24"/>
                <w:lang w:val="en-US" w:eastAsia="zh-CN"/>
              </w:rPr>
              <w:t>校</w:t>
            </w:r>
            <w:r>
              <w:rPr>
                <w:rFonts w:hint="default" w:ascii="Times New Roman" w:hAnsi="Times New Roman" w:eastAsia="宋体" w:cs="Times New Roman"/>
                <w:sz w:val="24"/>
                <w:szCs w:val="24"/>
                <w:lang w:val="en-US" w:eastAsia="zh-CN"/>
              </w:rPr>
              <w:t>区产生的固体废物要妥善收集、保管，严禁乱丢乱放。对该类废弃物的暂存场地采取防雨、防火及防渗漏措施，严防其二次污染。</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8.5.4</w:t>
            </w:r>
            <w:r>
              <w:rPr>
                <w:rFonts w:hint="eastAsia" w:ascii="Times New Roman" w:hAnsi="Times New Roman" w:eastAsia="宋体" w:cs="Times New Roman"/>
                <w:sz w:val="24"/>
                <w:szCs w:val="24"/>
                <w:lang w:val="en-US" w:eastAsia="zh-CN"/>
              </w:rPr>
              <w:t>学校</w:t>
            </w:r>
            <w:r>
              <w:rPr>
                <w:rFonts w:hint="default" w:ascii="Times New Roman" w:hAnsi="Times New Roman" w:eastAsia="宋体" w:cs="Times New Roman"/>
                <w:sz w:val="24"/>
                <w:szCs w:val="24"/>
                <w:lang w:val="en-US" w:eastAsia="zh-CN"/>
              </w:rPr>
              <w:t>应认真执行国家和地方的各项环保法规和要求，明确学校环保机构的主要职责，建立健全各项规章制度。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8.5.5</w:t>
            </w:r>
            <w:r>
              <w:rPr>
                <w:rFonts w:hint="eastAsia" w:ascii="Times New Roman" w:hAnsi="Times New Roman" w:eastAsia="宋体" w:cs="Times New Roman"/>
                <w:sz w:val="24"/>
                <w:szCs w:val="24"/>
                <w:lang w:val="en-US" w:eastAsia="zh-CN"/>
              </w:rPr>
              <w:t>学校</w:t>
            </w:r>
            <w:r>
              <w:rPr>
                <w:rFonts w:hint="default" w:ascii="Times New Roman" w:hAnsi="Times New Roman" w:eastAsia="宋体" w:cs="Times New Roman"/>
                <w:sz w:val="24"/>
                <w:szCs w:val="24"/>
                <w:lang w:val="en-US" w:eastAsia="zh-CN"/>
              </w:rPr>
              <w:t>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8.5.6加强环保设施的维护和管理，保证设备正常运行，污染物排放稳定达标。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default" w:ascii="Times New Roman" w:hAnsi="Times New Roman" w:eastAsia="宋体" w:cs="Times New Roman"/>
                <w:color w:val="auto"/>
                <w:kern w:val="2"/>
                <w:sz w:val="24"/>
                <w:szCs w:val="24"/>
                <w:highlight w:val="none"/>
                <w:lang w:val="en-US" w:eastAsia="zh-CN"/>
              </w:rPr>
            </w:pPr>
          </w:p>
          <w:p>
            <w:pPr>
              <w:pStyle w:val="23"/>
              <w:rPr>
                <w:rFonts w:hint="default" w:ascii="Times New Roman" w:hAnsi="Times New Roman" w:eastAsia="宋体" w:cs="Times New Roman"/>
                <w:color w:val="auto"/>
                <w:kern w:val="2"/>
                <w:sz w:val="24"/>
                <w:szCs w:val="24"/>
                <w:highlight w:val="none"/>
                <w:lang w:val="en-US" w:eastAsia="zh-CN"/>
              </w:rPr>
            </w:pPr>
          </w:p>
          <w:p>
            <w:pPr>
              <w:pStyle w:val="9"/>
              <w:rPr>
                <w:rFonts w:hint="default"/>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color w:val="auto"/>
                <w:kern w:val="2"/>
                <w:sz w:val="24"/>
                <w:szCs w:val="24"/>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default" w:ascii="Times New Roman" w:hAnsi="Times New Roman" w:eastAsia="宋体" w:cs="Times New Roman"/>
                <w:color w:val="auto"/>
                <w:sz w:val="24"/>
                <w:szCs w:val="24"/>
                <w:highlight w:val="none"/>
                <w:lang w:val="en-US" w:eastAsia="zh-CN"/>
              </w:rPr>
            </w:pPr>
          </w:p>
        </w:tc>
      </w:tr>
    </w:tbl>
    <w:p>
      <w:pPr>
        <w:rPr>
          <w:rFonts w:hint="default" w:ascii="Times New Roman" w:hAnsi="Times New Roman" w:cs="Times New Roman"/>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00" w:lineRule="exact"/>
        <w:jc w:val="center"/>
        <w:outlineLvl w:val="0"/>
        <w:rPr>
          <w:rFonts w:hint="default" w:ascii="Times New Roman" w:hAnsi="Times New Roman" w:eastAsia="黑体" w:cs="Times New Roman"/>
          <w:b/>
          <w:color w:val="auto"/>
          <w:sz w:val="21"/>
          <w:szCs w:val="21"/>
          <w:highlight w:val="none"/>
        </w:rPr>
      </w:pPr>
      <w:bookmarkStart w:id="64" w:name="_Toc17305"/>
      <w:bookmarkStart w:id="65" w:name="_Toc15250_WPSOffice_Level1"/>
      <w:bookmarkStart w:id="66" w:name="_Toc6150_WPSOffice_Level1"/>
      <w:r>
        <w:rPr>
          <w:rFonts w:hint="default" w:ascii="Times New Roman" w:hAnsi="Times New Roman" w:eastAsia="黑体" w:cs="Times New Roman"/>
          <w:b/>
          <w:color w:val="auto"/>
          <w:sz w:val="21"/>
          <w:szCs w:val="21"/>
          <w:highlight w:val="none"/>
        </w:rPr>
        <w:t>建设项目竣工环境保护“三同时”验收登记表</w:t>
      </w:r>
      <w:bookmarkEnd w:id="64"/>
      <w:bookmarkEnd w:id="65"/>
      <w:bookmarkEnd w:id="66"/>
    </w:p>
    <w:p>
      <w:pPr>
        <w:spacing w:after="0" w:afterLines="0" w:line="300" w:lineRule="exact"/>
        <w:jc w:val="center"/>
        <w:rPr>
          <w:rFonts w:hint="default" w:ascii="Times New Roman" w:hAnsi="Times New Roman" w:eastAsia="黑体" w:cs="Times New Roman"/>
          <w:b/>
          <w:color w:val="auto"/>
          <w:sz w:val="21"/>
          <w:szCs w:val="21"/>
          <w:highlight w:val="none"/>
        </w:rPr>
      </w:pPr>
    </w:p>
    <w:p>
      <w:pPr>
        <w:spacing w:after="0" w:afterLines="0"/>
        <w:rPr>
          <w:rFonts w:hint="default" w:ascii="Times New Roman" w:hAnsi="Times New Roman" w:eastAsia="宋体" w:cs="Times New Roman"/>
          <w:b/>
          <w:color w:val="auto"/>
          <w:sz w:val="21"/>
          <w:szCs w:val="21"/>
          <w:highlight w:val="none"/>
        </w:rPr>
      </w:pPr>
      <w:bookmarkStart w:id="67" w:name="_Toc18725_WPSOffice_Level1"/>
      <w:bookmarkStart w:id="68" w:name="_Toc2575_WPSOffice_Level1"/>
      <w:bookmarkStart w:id="69" w:name="_Toc17650_WPSOffice_Level1"/>
      <w:r>
        <w:rPr>
          <w:rFonts w:hint="default" w:ascii="Times New Roman" w:hAnsi="Times New Roman" w:eastAsia="宋体" w:cs="Times New Roman"/>
          <w:b/>
          <w:color w:val="auto"/>
          <w:sz w:val="21"/>
          <w:szCs w:val="21"/>
          <w:highlight w:val="none"/>
        </w:rPr>
        <w:t>填表单位（盖章）</w:t>
      </w:r>
      <w:r>
        <w:rPr>
          <w:rFonts w:hint="default" w:ascii="Times New Roman" w:hAnsi="Times New Roman" w:eastAsia="宋体" w:cs="Times New Roman"/>
          <w:b/>
          <w:color w:val="auto"/>
          <w:kern w:val="2"/>
          <w:sz w:val="21"/>
          <w:szCs w:val="21"/>
          <w:highlight w:val="none"/>
        </w:rPr>
        <w:t>：</w:t>
      </w:r>
      <w:r>
        <w:rPr>
          <w:rFonts w:hint="eastAsia" w:ascii="Times New Roman" w:hAnsi="Times New Roman" w:eastAsia="宋体" w:cs="Times New Roman"/>
          <w:b w:val="0"/>
          <w:bCs/>
          <w:color w:val="auto"/>
          <w:kern w:val="2"/>
          <w:sz w:val="21"/>
          <w:szCs w:val="21"/>
          <w:highlight w:val="none"/>
          <w:lang w:eastAsia="zh-CN"/>
        </w:rPr>
        <w:t xml:space="preserve">成都工业学院宜宾产教融合实训基地建设项目  </w:t>
      </w:r>
      <w:r>
        <w:rPr>
          <w:rFonts w:hint="default" w:ascii="Times New Roman" w:hAnsi="Times New Roman" w:eastAsia="宋体" w:cs="Times New Roman"/>
          <w:b w:val="0"/>
          <w:bCs/>
          <w:color w:val="auto"/>
          <w:kern w:val="2"/>
          <w:sz w:val="21"/>
          <w:szCs w:val="21"/>
          <w:highlight w:val="none"/>
          <w:lang w:val="en-US" w:eastAsia="zh-CN"/>
        </w:rPr>
        <w:t xml:space="preserve"> </w:t>
      </w:r>
      <w:r>
        <w:rPr>
          <w:rFonts w:hint="default" w:ascii="Times New Roman" w:hAnsi="Times New Roman" w:eastAsia="宋体" w:cs="Times New Roman"/>
          <w:b/>
          <w:color w:val="auto"/>
          <w:kern w:val="2"/>
          <w:sz w:val="21"/>
          <w:szCs w:val="21"/>
          <w:highlight w:val="none"/>
          <w:lang w:val="en-US" w:eastAsia="zh-CN"/>
        </w:rPr>
        <w:t xml:space="preserve">             </w:t>
      </w:r>
      <w:r>
        <w:rPr>
          <w:rFonts w:hint="default" w:ascii="Times New Roman" w:hAnsi="Times New Roman" w:eastAsia="宋体" w:cs="Times New Roman"/>
          <w:b/>
          <w:color w:val="auto"/>
          <w:sz w:val="21"/>
          <w:szCs w:val="21"/>
          <w:highlight w:val="none"/>
        </w:rPr>
        <w:t xml:space="preserve"> 填表人（签字）：                   项目经办人（签字）：</w:t>
      </w:r>
      <w:bookmarkEnd w:id="67"/>
      <w:bookmarkEnd w:id="68"/>
      <w:bookmarkEnd w:id="69"/>
    </w:p>
    <w:tbl>
      <w:tblPr>
        <w:tblStyle w:val="24"/>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21"/>
        <w:gridCol w:w="576"/>
        <w:gridCol w:w="828"/>
        <w:gridCol w:w="1380"/>
        <w:gridCol w:w="1097"/>
        <w:gridCol w:w="296"/>
        <w:gridCol w:w="691"/>
        <w:gridCol w:w="6"/>
        <w:gridCol w:w="241"/>
        <w:gridCol w:w="858"/>
        <w:gridCol w:w="1"/>
        <w:gridCol w:w="642"/>
        <w:gridCol w:w="495"/>
        <w:gridCol w:w="1150"/>
        <w:gridCol w:w="1467"/>
        <w:gridCol w:w="279"/>
        <w:gridCol w:w="385"/>
        <w:gridCol w:w="528"/>
        <w:gridCol w:w="707"/>
        <w:gridCol w:w="540"/>
        <w:gridCol w:w="19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建设项目</w:t>
            </w:r>
          </w:p>
        </w:tc>
        <w:tc>
          <w:tcPr>
            <w:tcW w:w="1965" w:type="dxa"/>
            <w:gridSpan w:val="3"/>
            <w:tcMar>
              <w:left w:w="57" w:type="dxa"/>
              <w:right w:w="57" w:type="dxa"/>
            </w:tcMar>
            <w:vAlign w:val="center"/>
          </w:tcPr>
          <w:p>
            <w:pPr>
              <w:spacing w:after="0" w:afterLines="0"/>
              <w:jc w:val="center"/>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项目名称</w:t>
            </w:r>
          </w:p>
        </w:tc>
        <w:tc>
          <w:tcPr>
            <w:tcW w:w="5397" w:type="dxa"/>
            <w:gridSpan w:val="8"/>
            <w:tcMar>
              <w:left w:w="57" w:type="dxa"/>
              <w:right w:w="57" w:type="dxa"/>
            </w:tcMar>
            <w:vAlign w:val="center"/>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eastAsia" w:ascii="Times New Roman" w:hAnsi="Times New Roman" w:cs="Times New Roman"/>
                <w:color w:val="auto"/>
                <w:kern w:val="2"/>
                <w:sz w:val="15"/>
                <w:szCs w:val="15"/>
                <w:highlight w:val="none"/>
                <w:lang w:val="en-US" w:eastAsia="zh-CN"/>
              </w:rPr>
              <w:t xml:space="preserve">成都工业学院宜宾产教融合实训基地建设项目  </w:t>
            </w:r>
          </w:p>
        </w:tc>
        <w:tc>
          <w:tcPr>
            <w:tcW w:w="1138" w:type="dxa"/>
            <w:gridSpan w:val="3"/>
            <w:tcMar>
              <w:left w:w="57" w:type="dxa"/>
              <w:right w:w="57" w:type="dxa"/>
            </w:tcMar>
            <w:vAlign w:val="center"/>
          </w:tcPr>
          <w:p>
            <w:pPr>
              <w:spacing w:after="0" w:afterLines="0"/>
              <w:jc w:val="center"/>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项目代码</w:t>
            </w:r>
          </w:p>
        </w:tc>
        <w:tc>
          <w:tcPr>
            <w:tcW w:w="2896" w:type="dxa"/>
            <w:gridSpan w:val="3"/>
            <w:tcMar>
              <w:left w:w="57" w:type="dxa"/>
              <w:right w:w="57" w:type="dxa"/>
            </w:tcMar>
            <w:vAlign w:val="center"/>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eastAsia="zh-CN"/>
              </w:rPr>
              <w:t>宜临港发投发[2019]177号</w:t>
            </w:r>
          </w:p>
        </w:tc>
        <w:tc>
          <w:tcPr>
            <w:tcW w:w="1620" w:type="dxa"/>
            <w:gridSpan w:val="3"/>
            <w:tcMar>
              <w:left w:w="57" w:type="dxa"/>
              <w:right w:w="57" w:type="dxa"/>
            </w:tcMar>
            <w:vAlign w:val="center"/>
          </w:tcPr>
          <w:p>
            <w:pPr>
              <w:spacing w:after="0" w:afterLines="0"/>
              <w:jc w:val="center"/>
              <w:rPr>
                <w:rFonts w:hint="default" w:ascii="Times New Roman" w:hAnsi="Times New Roman" w:cs="Times New Roman"/>
                <w:b/>
                <w:bCs/>
                <w:color w:val="auto"/>
                <w:kern w:val="2"/>
                <w:sz w:val="15"/>
                <w:szCs w:val="15"/>
                <w:highlight w:val="none"/>
                <w:lang w:eastAsia="zh-CN"/>
              </w:rPr>
            </w:pPr>
            <w:r>
              <w:rPr>
                <w:rFonts w:hint="default" w:ascii="Times New Roman" w:hAnsi="Times New Roman" w:cs="Times New Roman"/>
                <w:b/>
                <w:bCs/>
                <w:color w:val="auto"/>
                <w:kern w:val="2"/>
                <w:sz w:val="15"/>
                <w:szCs w:val="15"/>
                <w:highlight w:val="none"/>
                <w:lang w:eastAsia="zh-CN"/>
              </w:rPr>
              <w:t>建设地点</w:t>
            </w:r>
          </w:p>
        </w:tc>
        <w:tc>
          <w:tcPr>
            <w:tcW w:w="2434" w:type="dxa"/>
            <w:gridSpan w:val="5"/>
            <w:tcMar>
              <w:left w:w="57" w:type="dxa"/>
              <w:right w:w="57" w:type="dxa"/>
            </w:tcMar>
            <w:vAlign w:val="center"/>
          </w:tcPr>
          <w:p>
            <w:pPr>
              <w:spacing w:after="0" w:afterLines="0"/>
              <w:jc w:val="center"/>
              <w:rPr>
                <w:rFonts w:hint="default" w:ascii="Times New Roman" w:hAnsi="Times New Roman" w:cs="Times New Roman"/>
                <w:b/>
                <w:bCs/>
                <w:color w:val="auto"/>
                <w:kern w:val="2"/>
                <w:sz w:val="15"/>
                <w:szCs w:val="15"/>
                <w:highlight w:val="none"/>
                <w:lang w:eastAsia="zh-CN"/>
              </w:rPr>
            </w:pPr>
            <w:r>
              <w:rPr>
                <w:rFonts w:hint="eastAsia" w:ascii="Times New Roman" w:hAnsi="Times New Roman" w:cs="Times New Roman"/>
                <w:color w:val="auto"/>
                <w:kern w:val="2"/>
                <w:sz w:val="15"/>
                <w:szCs w:val="15"/>
                <w:highlight w:val="none"/>
                <w:lang w:val="en-US" w:eastAsia="zh-CN"/>
              </w:rPr>
              <w:t>宜宾临港国家级经济技术开发区双城街道SC-A-03-03地块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jc w:val="left"/>
              <w:rPr>
                <w:rFonts w:hint="default" w:ascii="Times New Roman" w:hAnsi="Times New Roman" w:cs="Times New Roman"/>
                <w:color w:val="auto"/>
                <w:kern w:val="2"/>
                <w:sz w:val="15"/>
                <w:szCs w:val="15"/>
                <w:highlight w:val="none"/>
                <w:lang w:val="en-US" w:eastAsia="zh-CN"/>
              </w:rPr>
            </w:pPr>
            <w:r>
              <w:rPr>
                <w:rFonts w:hint="default" w:ascii="Times New Roman" w:hAnsi="Times New Roman" w:cs="Times New Roman"/>
                <w:b/>
                <w:color w:val="auto"/>
                <w:kern w:val="2"/>
                <w:sz w:val="15"/>
                <w:szCs w:val="15"/>
                <w:highlight w:val="none"/>
                <w:lang w:val="en-US" w:eastAsia="zh-CN"/>
              </w:rPr>
              <w:t>行业类别（分类管理名录）</w:t>
            </w:r>
          </w:p>
        </w:tc>
        <w:tc>
          <w:tcPr>
            <w:tcW w:w="5397" w:type="dxa"/>
            <w:gridSpan w:val="8"/>
            <w:tcMar>
              <w:left w:w="57" w:type="dxa"/>
              <w:right w:w="57" w:type="dxa"/>
            </w:tcMar>
            <w:vAlign w:val="top"/>
          </w:tcPr>
          <w:p>
            <w:pPr>
              <w:spacing w:after="0" w:afterLines="0"/>
              <w:jc w:val="left"/>
              <w:rPr>
                <w:rFonts w:hint="default" w:ascii="Times New Roman" w:hAnsi="Times New Roman" w:cs="Times New Roman"/>
                <w:color w:val="auto"/>
                <w:kern w:val="2"/>
                <w:sz w:val="15"/>
                <w:szCs w:val="15"/>
                <w:highlight w:val="none"/>
                <w:lang w:val="en-US" w:eastAsia="zh-CN"/>
              </w:rPr>
            </w:pPr>
            <w:r>
              <w:rPr>
                <w:rFonts w:hint="eastAsia" w:ascii="Times New Roman" w:hAnsi="Times New Roman" w:cs="Times New Roman"/>
                <w:color w:val="auto"/>
                <w:kern w:val="2"/>
                <w:sz w:val="15"/>
                <w:szCs w:val="15"/>
                <w:highlight w:val="none"/>
                <w:lang w:val="en-US" w:eastAsia="zh-CN"/>
              </w:rPr>
              <w:t>P8341普通高等教育</w:t>
            </w:r>
          </w:p>
        </w:tc>
        <w:tc>
          <w:tcPr>
            <w:tcW w:w="2288" w:type="dxa"/>
            <w:gridSpan w:val="4"/>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建设性质</w:t>
            </w:r>
          </w:p>
        </w:tc>
        <w:tc>
          <w:tcPr>
            <w:tcW w:w="2131" w:type="dxa"/>
            <w:gridSpan w:val="3"/>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r>
              <w:rPr>
                <w:rFonts w:hint="eastAsia" w:ascii="Times New Roman" w:hAnsi="Times New Roman" w:cs="Times New Roman"/>
                <w:b/>
                <w:color w:val="auto"/>
                <w:kern w:val="2"/>
                <w:sz w:val="15"/>
                <w:szCs w:val="15"/>
                <w:highlight w:val="none"/>
                <w:lang w:eastAsia="zh-CN"/>
              </w:rPr>
              <w:sym w:font="Wingdings 2" w:char="0052"/>
            </w:r>
            <w:r>
              <w:rPr>
                <w:rFonts w:hint="default" w:ascii="Times New Roman" w:hAnsi="Times New Roman" w:cs="Times New Roman"/>
                <w:b/>
                <w:color w:val="auto"/>
                <w:kern w:val="2"/>
                <w:sz w:val="15"/>
                <w:szCs w:val="15"/>
                <w:highlight w:val="none"/>
              </w:rPr>
              <w:t xml:space="preserve">新建  </w:t>
            </w:r>
            <w:r>
              <w:rPr>
                <w:rFonts w:hint="default" w:ascii="Times New Roman" w:hAnsi="Times New Roman" w:cs="Times New Roman"/>
                <w:b/>
                <w:color w:val="auto"/>
                <w:kern w:val="2"/>
                <w:sz w:val="15"/>
                <w:szCs w:val="15"/>
                <w:highlight w:val="none"/>
              </w:rPr>
              <w:sym w:font="Wingdings 2" w:char="00A3"/>
            </w:r>
            <w:r>
              <w:rPr>
                <w:rFonts w:hint="default" w:ascii="Times New Roman" w:hAnsi="Times New Roman" w:cs="Times New Roman"/>
                <w:b/>
                <w:color w:val="auto"/>
                <w:kern w:val="2"/>
                <w:sz w:val="15"/>
                <w:szCs w:val="15"/>
                <w:highlight w:val="none"/>
              </w:rPr>
              <w:t>改扩建  □技术改造</w:t>
            </w:r>
          </w:p>
        </w:tc>
        <w:tc>
          <w:tcPr>
            <w:tcW w:w="1775" w:type="dxa"/>
            <w:gridSpan w:val="3"/>
            <w:tcMar>
              <w:left w:w="57" w:type="dxa"/>
              <w:right w:w="57" w:type="dxa"/>
            </w:tcMar>
            <w:vAlign w:val="top"/>
          </w:tcPr>
          <w:p>
            <w:pPr>
              <w:spacing w:after="0" w:afterLines="0"/>
              <w:rPr>
                <w:rFonts w:hint="default" w:ascii="Times New Roman" w:hAnsi="Times New Roman" w:cs="Times New Roman"/>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项目厂区中心经度/纬度</w:t>
            </w:r>
          </w:p>
        </w:tc>
        <w:tc>
          <w:tcPr>
            <w:tcW w:w="1894" w:type="dxa"/>
            <w:gridSpan w:val="4"/>
            <w:tcMar>
              <w:left w:w="57" w:type="dxa"/>
              <w:right w:w="57" w:type="dxa"/>
            </w:tcMar>
            <w:vAlign w:val="top"/>
          </w:tcPr>
          <w:p>
            <w:pPr>
              <w:spacing w:after="0" w:afterLines="0"/>
              <w:rPr>
                <w:rFonts w:hint="default" w:ascii="Times New Roman" w:hAnsi="Times New Roman" w:cs="Times New Roman"/>
                <w:color w:val="auto"/>
                <w:kern w:val="2"/>
                <w:sz w:val="13"/>
                <w:szCs w:val="13"/>
                <w:highlight w:val="none"/>
                <w:lang w:val="en-US" w:eastAsia="zh-CN"/>
              </w:rPr>
            </w:pPr>
            <w:r>
              <w:rPr>
                <w:rFonts w:hint="default" w:ascii="Times New Roman" w:hAnsi="Times New Roman" w:cs="Times New Roman"/>
                <w:color w:val="auto"/>
                <w:kern w:val="2"/>
                <w:sz w:val="13"/>
                <w:szCs w:val="13"/>
                <w:highlight w:val="none"/>
                <w:lang w:val="en-US" w:eastAsia="zh-CN"/>
              </w:rPr>
              <w:t>104°</w:t>
            </w:r>
            <w:r>
              <w:rPr>
                <w:rFonts w:hint="eastAsia" w:ascii="Times New Roman" w:hAnsi="Times New Roman" w:cs="Times New Roman"/>
                <w:color w:val="auto"/>
                <w:kern w:val="2"/>
                <w:sz w:val="13"/>
                <w:szCs w:val="13"/>
                <w:highlight w:val="none"/>
                <w:lang w:val="en-US" w:eastAsia="zh-CN"/>
              </w:rPr>
              <w:t>69</w:t>
            </w:r>
            <w:r>
              <w:rPr>
                <w:rFonts w:hint="default" w:ascii="Times New Roman" w:hAnsi="Times New Roman" w:cs="Times New Roman"/>
                <w:color w:val="auto"/>
                <w:kern w:val="2"/>
                <w:sz w:val="13"/>
                <w:szCs w:val="13"/>
                <w:highlight w:val="none"/>
                <w:lang w:val="en-US" w:eastAsia="zh-CN"/>
              </w:rPr>
              <w:t>'</w:t>
            </w:r>
            <w:r>
              <w:rPr>
                <w:rFonts w:hint="eastAsia" w:ascii="Times New Roman" w:hAnsi="Times New Roman" w:cs="Times New Roman"/>
                <w:color w:val="auto"/>
                <w:kern w:val="2"/>
                <w:sz w:val="13"/>
                <w:szCs w:val="13"/>
                <w:highlight w:val="none"/>
                <w:lang w:val="en-US" w:eastAsia="zh-CN"/>
              </w:rPr>
              <w:t>38.28</w:t>
            </w:r>
            <w:r>
              <w:rPr>
                <w:rFonts w:hint="default" w:ascii="Times New Roman" w:hAnsi="Times New Roman" w:cs="Times New Roman"/>
                <w:color w:val="auto"/>
                <w:kern w:val="2"/>
                <w:sz w:val="13"/>
                <w:szCs w:val="13"/>
                <w:highlight w:val="none"/>
                <w:lang w:val="en-US" w:eastAsia="zh-CN"/>
              </w:rPr>
              <w:t>"E</w:t>
            </w:r>
          </w:p>
          <w:p>
            <w:pPr>
              <w:spacing w:after="0" w:afterLines="0"/>
              <w:rPr>
                <w:rFonts w:hint="default" w:ascii="Times New Roman" w:hAnsi="Times New Roman" w:cs="Times New Roman"/>
                <w:color w:val="auto"/>
                <w:kern w:val="2"/>
                <w:sz w:val="15"/>
                <w:szCs w:val="15"/>
                <w:highlight w:val="none"/>
                <w:lang w:val="en-US" w:eastAsia="zh-CN"/>
              </w:rPr>
            </w:pPr>
            <w:r>
              <w:rPr>
                <w:rFonts w:hint="eastAsia" w:ascii="Times New Roman" w:hAnsi="Times New Roman" w:cs="Times New Roman"/>
                <w:color w:val="auto"/>
                <w:kern w:val="2"/>
                <w:sz w:val="13"/>
                <w:szCs w:val="13"/>
                <w:highlight w:val="none"/>
                <w:lang w:val="en-US" w:eastAsia="zh-CN"/>
              </w:rPr>
              <w:t>28</w:t>
            </w:r>
            <w:r>
              <w:rPr>
                <w:rFonts w:hint="default" w:ascii="Times New Roman" w:hAnsi="Times New Roman" w:cs="Times New Roman"/>
                <w:color w:val="auto"/>
                <w:kern w:val="2"/>
                <w:sz w:val="13"/>
                <w:szCs w:val="13"/>
                <w:highlight w:val="none"/>
                <w:lang w:val="en-US" w:eastAsia="zh-CN"/>
              </w:rPr>
              <w:t>°</w:t>
            </w:r>
            <w:r>
              <w:rPr>
                <w:rFonts w:hint="eastAsia" w:ascii="Times New Roman" w:hAnsi="Times New Roman" w:cs="Times New Roman"/>
                <w:color w:val="auto"/>
                <w:kern w:val="2"/>
                <w:sz w:val="13"/>
                <w:szCs w:val="13"/>
                <w:highlight w:val="none"/>
                <w:lang w:val="en-US" w:eastAsia="zh-CN"/>
              </w:rPr>
              <w:t>82</w:t>
            </w:r>
            <w:r>
              <w:rPr>
                <w:rFonts w:hint="default" w:ascii="Times New Roman" w:hAnsi="Times New Roman" w:cs="Times New Roman"/>
                <w:color w:val="auto"/>
                <w:kern w:val="2"/>
                <w:sz w:val="13"/>
                <w:szCs w:val="13"/>
                <w:highlight w:val="none"/>
                <w:lang w:val="en-US" w:eastAsia="zh-CN"/>
              </w:rPr>
              <w:t>'</w:t>
            </w:r>
            <w:r>
              <w:rPr>
                <w:rFonts w:hint="eastAsia" w:ascii="Times New Roman" w:hAnsi="Times New Roman" w:cs="Times New Roman"/>
                <w:color w:val="auto"/>
                <w:kern w:val="2"/>
                <w:sz w:val="13"/>
                <w:szCs w:val="13"/>
                <w:highlight w:val="none"/>
                <w:lang w:val="en-US" w:eastAsia="zh-CN"/>
              </w:rPr>
              <w:t>88.47</w:t>
            </w:r>
            <w:r>
              <w:rPr>
                <w:rFonts w:hint="default" w:ascii="Times New Roman" w:hAnsi="Times New Roman" w:cs="Times New Roman"/>
                <w:color w:val="auto"/>
                <w:kern w:val="2"/>
                <w:sz w:val="13"/>
                <w:szCs w:val="13"/>
                <w:highlight w:val="none"/>
                <w:lang w:val="en-US" w:eastAsia="zh-CN"/>
              </w:rPr>
              <w:t>"N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jc w:val="both"/>
              <w:rPr>
                <w:rFonts w:hint="default" w:ascii="Times New Roman" w:hAnsi="Times New Roman" w:cs="Times New Roman"/>
                <w:color w:val="auto"/>
                <w:kern w:val="2"/>
                <w:sz w:val="15"/>
                <w:szCs w:val="15"/>
                <w:highlight w:val="none"/>
                <w:lang w:val="en-US" w:eastAsia="zh-CN"/>
              </w:rPr>
            </w:pPr>
            <w:r>
              <w:rPr>
                <w:rFonts w:hint="default" w:ascii="Times New Roman" w:hAnsi="Times New Roman" w:cs="Times New Roman"/>
                <w:b/>
                <w:bCs/>
                <w:color w:val="auto"/>
                <w:kern w:val="2"/>
                <w:sz w:val="15"/>
                <w:szCs w:val="15"/>
                <w:highlight w:val="none"/>
                <w:lang w:val="en-US" w:eastAsia="zh-CN"/>
              </w:rPr>
              <w:t>设计生产能力</w:t>
            </w:r>
          </w:p>
        </w:tc>
        <w:tc>
          <w:tcPr>
            <w:tcW w:w="5397" w:type="dxa"/>
            <w:gridSpan w:val="8"/>
            <w:tcMar>
              <w:left w:w="57" w:type="dxa"/>
              <w:right w:w="57" w:type="dxa"/>
            </w:tcMar>
            <w:vAlign w:val="center"/>
          </w:tcPr>
          <w:p>
            <w:pPr>
              <w:spacing w:after="0" w:afterLines="0"/>
              <w:jc w:val="left"/>
              <w:rPr>
                <w:rFonts w:hint="default" w:ascii="Times New Roman" w:hAnsi="Times New Roman" w:cs="Times New Roman"/>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规划师生共计6000人，其中学生约5300人，教师约700人</w:t>
            </w:r>
          </w:p>
        </w:tc>
        <w:tc>
          <w:tcPr>
            <w:tcW w:w="2288" w:type="dxa"/>
            <w:gridSpan w:val="4"/>
            <w:tcMar>
              <w:left w:w="57" w:type="dxa"/>
              <w:right w:w="57" w:type="dxa"/>
            </w:tcMar>
            <w:vAlign w:val="center"/>
          </w:tcPr>
          <w:p>
            <w:pPr>
              <w:spacing w:after="0" w:afterLines="0"/>
              <w:jc w:val="left"/>
              <w:rPr>
                <w:rFonts w:hint="default" w:ascii="Times New Roman" w:hAnsi="Times New Roman" w:cs="Times New Roman"/>
                <w:color w:val="auto"/>
                <w:kern w:val="2"/>
                <w:sz w:val="15"/>
                <w:szCs w:val="15"/>
                <w:highlight w:val="none"/>
                <w:lang w:val="en-US" w:eastAsia="zh-CN"/>
              </w:rPr>
            </w:pPr>
            <w:r>
              <w:rPr>
                <w:rFonts w:hint="default" w:ascii="Times New Roman" w:hAnsi="Times New Roman" w:cs="Times New Roman"/>
                <w:b/>
                <w:bCs/>
                <w:color w:val="auto"/>
                <w:kern w:val="2"/>
                <w:sz w:val="15"/>
                <w:szCs w:val="15"/>
                <w:highlight w:val="none"/>
                <w:lang w:val="en-US" w:eastAsia="zh-CN"/>
              </w:rPr>
              <w:t>实际生产能力</w:t>
            </w:r>
          </w:p>
        </w:tc>
        <w:tc>
          <w:tcPr>
            <w:tcW w:w="1746" w:type="dxa"/>
            <w:gridSpan w:val="2"/>
            <w:tcMar>
              <w:left w:w="57" w:type="dxa"/>
              <w:right w:w="57" w:type="dxa"/>
            </w:tcMar>
            <w:vAlign w:val="center"/>
          </w:tcPr>
          <w:p>
            <w:pPr>
              <w:spacing w:after="0" w:afterLines="0" w:line="240" w:lineRule="auto"/>
              <w:jc w:val="left"/>
              <w:rPr>
                <w:rFonts w:hint="default" w:ascii="Times New Roman" w:hAnsi="Times New Roman" w:cs="Times New Roman"/>
                <w:color w:val="auto"/>
                <w:kern w:val="2"/>
                <w:sz w:val="15"/>
                <w:szCs w:val="15"/>
                <w:highlight w:val="none"/>
                <w:lang w:val="en-US" w:eastAsia="zh-CN"/>
              </w:rPr>
            </w:pPr>
            <w:r>
              <w:rPr>
                <w:rFonts w:hint="default" w:ascii="Times New Roman" w:hAnsi="Times New Roman" w:cs="Times New Roman"/>
                <w:color w:val="auto"/>
                <w:kern w:val="2"/>
                <w:sz w:val="11"/>
                <w:szCs w:val="11"/>
                <w:highlight w:val="none"/>
                <w:lang w:val="en-US" w:eastAsia="zh-CN"/>
              </w:rPr>
              <w:t>规划师生共计6000人，其中学生约5300人，教师约700人</w:t>
            </w:r>
          </w:p>
        </w:tc>
        <w:tc>
          <w:tcPr>
            <w:tcW w:w="1620" w:type="dxa"/>
            <w:gridSpan w:val="3"/>
            <w:tcMar>
              <w:left w:w="57" w:type="dxa"/>
              <w:right w:w="57" w:type="dxa"/>
            </w:tcMar>
            <w:vAlign w:val="center"/>
          </w:tcPr>
          <w:p>
            <w:pPr>
              <w:spacing w:after="0" w:afterLines="0"/>
              <w:jc w:val="center"/>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环评单位</w:t>
            </w:r>
          </w:p>
        </w:tc>
        <w:tc>
          <w:tcPr>
            <w:tcW w:w="2434" w:type="dxa"/>
            <w:gridSpan w:val="5"/>
            <w:shd w:val="clear" w:color="auto" w:fill="auto"/>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环评文件审批机关</w:t>
            </w:r>
          </w:p>
        </w:tc>
        <w:tc>
          <w:tcPr>
            <w:tcW w:w="5397" w:type="dxa"/>
            <w:gridSpan w:val="8"/>
            <w:tcMar>
              <w:left w:w="57" w:type="dxa"/>
              <w:right w:w="57" w:type="dxa"/>
            </w:tcMar>
            <w:vAlign w:val="top"/>
          </w:tcPr>
          <w:p>
            <w:pPr>
              <w:spacing w:after="0" w:afterLines="0"/>
              <w:jc w:val="left"/>
              <w:rPr>
                <w:rFonts w:hint="default" w:ascii="Times New Roman" w:hAnsi="Times New Roman" w:cs="Times New Roman"/>
                <w:color w:val="auto"/>
                <w:kern w:val="2"/>
                <w:sz w:val="15"/>
                <w:szCs w:val="15"/>
                <w:highlight w:val="none"/>
                <w:lang w:eastAsia="zh-CN"/>
              </w:rPr>
            </w:pPr>
            <w:r>
              <w:rPr>
                <w:rFonts w:hint="eastAsia" w:ascii="Times New Roman" w:hAnsi="Times New Roman" w:cs="Times New Roman"/>
                <w:color w:val="auto"/>
                <w:kern w:val="2"/>
                <w:sz w:val="15"/>
                <w:szCs w:val="15"/>
                <w:highlight w:val="none"/>
                <w:lang w:eastAsia="zh-CN"/>
              </w:rPr>
              <w:t>宜宾临港经济技术开发区生态环境和城乡发展局</w:t>
            </w:r>
          </w:p>
        </w:tc>
        <w:tc>
          <w:tcPr>
            <w:tcW w:w="2288" w:type="dxa"/>
            <w:gridSpan w:val="4"/>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审批文号</w:t>
            </w:r>
          </w:p>
        </w:tc>
        <w:tc>
          <w:tcPr>
            <w:tcW w:w="1746" w:type="dxa"/>
            <w:gridSpan w:val="2"/>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after="0" w:afterLines="0" w:line="240" w:lineRule="auto"/>
              <w:textAlignment w:val="auto"/>
              <w:rPr>
                <w:rFonts w:hint="default" w:ascii="Times New Roman" w:hAnsi="Times New Roman" w:cs="Times New Roman"/>
                <w:color w:val="auto"/>
                <w:kern w:val="2"/>
                <w:sz w:val="15"/>
                <w:szCs w:val="15"/>
                <w:highlight w:val="none"/>
                <w:lang w:val="en-US" w:eastAsia="zh-CN"/>
              </w:rPr>
            </w:pPr>
            <w:r>
              <w:rPr>
                <w:rFonts w:hint="eastAsia" w:ascii="Times New Roman" w:hAnsi="Times New Roman" w:cs="Times New Roman" w:eastAsiaTheme="minorEastAsia"/>
                <w:color w:val="auto"/>
                <w:sz w:val="13"/>
                <w:szCs w:val="13"/>
                <w:highlight w:val="none"/>
                <w:lang w:val="en-US" w:eastAsia="zh-CN"/>
              </w:rPr>
              <w:t>临</w:t>
            </w:r>
            <w:r>
              <w:rPr>
                <w:rFonts w:hint="eastAsia" w:ascii="Times New Roman" w:hAnsi="Times New Roman" w:cs="Times New Roman" w:eastAsiaTheme="minorEastAsia"/>
                <w:color w:val="auto"/>
                <w:sz w:val="13"/>
                <w:szCs w:val="13"/>
                <w:highlight w:val="none"/>
                <w:lang w:eastAsia="zh-CN"/>
              </w:rPr>
              <w:t>环审批〔2020〕1</w:t>
            </w:r>
            <w:r>
              <w:rPr>
                <w:rFonts w:hint="eastAsia" w:ascii="Times New Roman" w:hAnsi="Times New Roman" w:cs="Times New Roman" w:eastAsiaTheme="minorEastAsia"/>
                <w:color w:val="auto"/>
                <w:sz w:val="13"/>
                <w:szCs w:val="13"/>
                <w:highlight w:val="none"/>
                <w:lang w:val="en-US" w:eastAsia="zh-CN"/>
              </w:rPr>
              <w:t>6</w:t>
            </w:r>
            <w:r>
              <w:rPr>
                <w:rFonts w:hint="eastAsia" w:ascii="Times New Roman" w:hAnsi="Times New Roman" w:cs="Times New Roman" w:eastAsiaTheme="minorEastAsia"/>
                <w:color w:val="auto"/>
                <w:sz w:val="13"/>
                <w:szCs w:val="13"/>
                <w:highlight w:val="none"/>
                <w:lang w:eastAsia="zh-CN"/>
              </w:rPr>
              <w:t>号</w:t>
            </w:r>
          </w:p>
        </w:tc>
        <w:tc>
          <w:tcPr>
            <w:tcW w:w="1620" w:type="dxa"/>
            <w:gridSpan w:val="3"/>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环评文件类型</w:t>
            </w:r>
          </w:p>
        </w:tc>
        <w:tc>
          <w:tcPr>
            <w:tcW w:w="2434" w:type="dxa"/>
            <w:gridSpan w:val="5"/>
            <w:tcMar>
              <w:left w:w="57" w:type="dxa"/>
              <w:right w:w="57" w:type="dxa"/>
            </w:tcMar>
            <w:vAlign w:val="top"/>
          </w:tcPr>
          <w:p>
            <w:pPr>
              <w:spacing w:after="0" w:afterLines="0"/>
              <w:rPr>
                <w:rFonts w:hint="default" w:ascii="Times New Roman" w:hAnsi="Times New Roman" w:eastAsia="微软雅黑" w:cs="Times New Roman"/>
                <w:color w:val="auto"/>
                <w:kern w:val="2"/>
                <w:sz w:val="15"/>
                <w:szCs w:val="15"/>
                <w:highlight w:val="none"/>
                <w:lang w:eastAsia="zh-CN"/>
              </w:rPr>
            </w:pPr>
            <w:r>
              <w:rPr>
                <w:rFonts w:hint="default" w:ascii="Times New Roman" w:hAnsi="Times New Roman" w:cs="Times New Roman"/>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开工日期</w:t>
            </w:r>
          </w:p>
        </w:tc>
        <w:tc>
          <w:tcPr>
            <w:tcW w:w="5397" w:type="dxa"/>
            <w:gridSpan w:val="8"/>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2"/>
                <w:sz w:val="15"/>
                <w:szCs w:val="15"/>
                <w:highlight w:val="none"/>
                <w:lang w:val="en-US" w:eastAsia="zh-CN"/>
              </w:rPr>
              <w:t>20</w:t>
            </w:r>
            <w:r>
              <w:rPr>
                <w:rFonts w:hint="eastAsia" w:ascii="Times New Roman" w:hAnsi="Times New Roman" w:cs="Times New Roman"/>
                <w:color w:val="auto"/>
                <w:kern w:val="2"/>
                <w:sz w:val="15"/>
                <w:szCs w:val="15"/>
                <w:highlight w:val="none"/>
                <w:lang w:val="en-US" w:eastAsia="zh-CN"/>
              </w:rPr>
              <w:t>20</w:t>
            </w:r>
            <w:r>
              <w:rPr>
                <w:rFonts w:hint="default" w:ascii="Times New Roman" w:hAnsi="Times New Roman" w:cs="Times New Roman"/>
                <w:color w:val="auto"/>
                <w:kern w:val="2"/>
                <w:sz w:val="15"/>
                <w:szCs w:val="15"/>
                <w:highlight w:val="none"/>
                <w:lang w:val="en-US" w:eastAsia="zh-CN"/>
              </w:rPr>
              <w:t>年</w:t>
            </w:r>
            <w:r>
              <w:rPr>
                <w:rFonts w:hint="eastAsia" w:ascii="Times New Roman" w:hAnsi="Times New Roman" w:cs="Times New Roman"/>
                <w:color w:val="auto"/>
                <w:kern w:val="2"/>
                <w:sz w:val="15"/>
                <w:szCs w:val="15"/>
                <w:highlight w:val="none"/>
                <w:lang w:val="en-US" w:eastAsia="zh-CN"/>
              </w:rPr>
              <w:t>6</w:t>
            </w:r>
            <w:r>
              <w:rPr>
                <w:rFonts w:hint="default" w:ascii="Times New Roman" w:hAnsi="Times New Roman" w:cs="Times New Roman"/>
                <w:color w:val="auto"/>
                <w:kern w:val="2"/>
                <w:sz w:val="15"/>
                <w:szCs w:val="15"/>
                <w:highlight w:val="none"/>
                <w:lang w:val="en-US" w:eastAsia="zh-CN"/>
              </w:rPr>
              <w:t>月</w:t>
            </w:r>
          </w:p>
        </w:tc>
        <w:tc>
          <w:tcPr>
            <w:tcW w:w="2288" w:type="dxa"/>
            <w:gridSpan w:val="4"/>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竣工日期</w:t>
            </w:r>
          </w:p>
        </w:tc>
        <w:tc>
          <w:tcPr>
            <w:tcW w:w="1746" w:type="dxa"/>
            <w:gridSpan w:val="2"/>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20</w:t>
            </w:r>
            <w:r>
              <w:rPr>
                <w:rFonts w:hint="eastAsia" w:ascii="Times New Roman" w:hAnsi="Times New Roman" w:cs="Times New Roman"/>
                <w:color w:val="auto"/>
                <w:kern w:val="2"/>
                <w:sz w:val="15"/>
                <w:szCs w:val="15"/>
                <w:highlight w:val="none"/>
                <w:lang w:val="en-US" w:eastAsia="zh-CN"/>
              </w:rPr>
              <w:t>21</w:t>
            </w:r>
            <w:r>
              <w:rPr>
                <w:rFonts w:hint="default" w:ascii="Times New Roman" w:hAnsi="Times New Roman" w:cs="Times New Roman"/>
                <w:color w:val="auto"/>
                <w:kern w:val="2"/>
                <w:sz w:val="15"/>
                <w:szCs w:val="15"/>
                <w:highlight w:val="none"/>
                <w:lang w:val="en-US" w:eastAsia="zh-CN"/>
              </w:rPr>
              <w:t>年</w:t>
            </w:r>
            <w:r>
              <w:rPr>
                <w:rFonts w:hint="eastAsia" w:ascii="Times New Roman" w:hAnsi="Times New Roman" w:cs="Times New Roman"/>
                <w:color w:val="auto"/>
                <w:kern w:val="2"/>
                <w:sz w:val="15"/>
                <w:szCs w:val="15"/>
                <w:highlight w:val="none"/>
                <w:lang w:val="en-US" w:eastAsia="zh-CN"/>
              </w:rPr>
              <w:t>8月</w:t>
            </w:r>
          </w:p>
        </w:tc>
        <w:tc>
          <w:tcPr>
            <w:tcW w:w="1620" w:type="dxa"/>
            <w:gridSpan w:val="3"/>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排污许可证申领时间</w:t>
            </w:r>
          </w:p>
        </w:tc>
        <w:tc>
          <w:tcPr>
            <w:tcW w:w="2434" w:type="dxa"/>
            <w:gridSpan w:val="5"/>
            <w:tcMar>
              <w:left w:w="57" w:type="dxa"/>
              <w:right w:w="57" w:type="dxa"/>
            </w:tcMar>
            <w:vAlign w:val="top"/>
          </w:tcPr>
          <w:p>
            <w:pPr>
              <w:spacing w:after="0" w:afterLines="0"/>
              <w:jc w:val="center"/>
              <w:rPr>
                <w:rFonts w:hint="default" w:ascii="Times New Roman" w:hAnsi="Times New Roman" w:cs="Times New Roman"/>
                <w:b/>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环保设施设计单位</w:t>
            </w:r>
          </w:p>
        </w:tc>
        <w:tc>
          <w:tcPr>
            <w:tcW w:w="4539" w:type="dxa"/>
            <w:gridSpan w:val="7"/>
            <w:tcMar>
              <w:left w:w="57" w:type="dxa"/>
              <w:right w:w="57" w:type="dxa"/>
            </w:tcMar>
            <w:vAlign w:val="top"/>
          </w:tcPr>
          <w:p>
            <w:pPr>
              <w:spacing w:after="0" w:afterLines="0"/>
              <w:jc w:val="center"/>
              <w:rPr>
                <w:rFonts w:hint="eastAsia" w:ascii="Times New Roman" w:hAnsi="Times New Roman" w:eastAsia="微软雅黑" w:cs="Times New Roman"/>
                <w:b/>
                <w:color w:val="auto"/>
                <w:sz w:val="15"/>
                <w:szCs w:val="15"/>
                <w:highlight w:val="none"/>
                <w:lang w:val="en-US" w:eastAsia="zh-CN"/>
              </w:rPr>
            </w:pPr>
            <w:r>
              <w:rPr>
                <w:rFonts w:hint="eastAsia" w:ascii="Times New Roman" w:hAnsi="Times New Roman" w:cs="Times New Roman"/>
                <w:b/>
                <w:color w:val="auto"/>
                <w:sz w:val="15"/>
                <w:szCs w:val="15"/>
                <w:highlight w:val="none"/>
                <w:lang w:val="en-US" w:eastAsia="zh-CN"/>
              </w:rPr>
              <w:t>/</w:t>
            </w:r>
          </w:p>
        </w:tc>
        <w:tc>
          <w:tcPr>
            <w:tcW w:w="1501" w:type="dxa"/>
            <w:gridSpan w:val="3"/>
            <w:tcMar>
              <w:left w:w="57" w:type="dxa"/>
              <w:right w:w="57" w:type="dxa"/>
            </w:tcMar>
            <w:vAlign w:val="top"/>
          </w:tcPr>
          <w:p>
            <w:pPr>
              <w:spacing w:after="0" w:afterLines="0"/>
              <w:rPr>
                <w:rFonts w:hint="default" w:ascii="Times New Roman" w:hAnsi="Times New Roman" w:cs="Times New Roman"/>
                <w:b/>
                <w:color w:val="auto"/>
                <w:sz w:val="15"/>
                <w:szCs w:val="15"/>
                <w:highlight w:val="none"/>
              </w:rPr>
            </w:pPr>
            <w:r>
              <w:rPr>
                <w:rFonts w:hint="default" w:ascii="Times New Roman" w:hAnsi="Times New Roman" w:cs="Times New Roman"/>
                <w:b/>
                <w:color w:val="auto"/>
                <w:sz w:val="15"/>
                <w:szCs w:val="15"/>
                <w:highlight w:val="none"/>
              </w:rPr>
              <w:t>环保设施施工单位</w:t>
            </w:r>
          </w:p>
        </w:tc>
        <w:tc>
          <w:tcPr>
            <w:tcW w:w="3391" w:type="dxa"/>
            <w:gridSpan w:val="4"/>
            <w:tcMar>
              <w:left w:w="57" w:type="dxa"/>
              <w:right w:w="57" w:type="dxa"/>
            </w:tcMar>
            <w:vAlign w:val="center"/>
          </w:tcPr>
          <w:p>
            <w:pPr>
              <w:spacing w:after="0" w:afterLines="0"/>
              <w:jc w:val="center"/>
              <w:rPr>
                <w:rFonts w:hint="eastAsia" w:ascii="Times New Roman" w:hAnsi="Times New Roman" w:eastAsia="微软雅黑" w:cs="Times New Roman"/>
                <w:color w:val="auto"/>
                <w:kern w:val="2"/>
                <w:sz w:val="15"/>
                <w:szCs w:val="15"/>
                <w:highlight w:val="none"/>
                <w:lang w:val="en-US" w:eastAsia="zh-CN"/>
              </w:rPr>
            </w:pPr>
            <w:r>
              <w:rPr>
                <w:rFonts w:hint="eastAsia" w:ascii="Times New Roman" w:hAnsi="Times New Roman" w:cs="Times New Roman"/>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本工程排污许可证编号</w:t>
            </w:r>
          </w:p>
        </w:tc>
        <w:tc>
          <w:tcPr>
            <w:tcW w:w="2434" w:type="dxa"/>
            <w:gridSpan w:val="5"/>
            <w:tcMar>
              <w:left w:w="57" w:type="dxa"/>
              <w:right w:w="57" w:type="dxa"/>
            </w:tcMar>
            <w:vAlign w:val="top"/>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验收单位</w:t>
            </w:r>
          </w:p>
        </w:tc>
        <w:tc>
          <w:tcPr>
            <w:tcW w:w="3601" w:type="dxa"/>
            <w:gridSpan w:val="4"/>
            <w:tcMar>
              <w:left w:w="57" w:type="dxa"/>
              <w:right w:w="57" w:type="dxa"/>
            </w:tcMar>
            <w:vAlign w:val="center"/>
          </w:tcPr>
          <w:p>
            <w:pPr>
              <w:spacing w:after="0" w:afterLines="0"/>
              <w:jc w:val="both"/>
              <w:rPr>
                <w:rFonts w:hint="default" w:ascii="Times New Roman" w:hAnsi="Times New Roman" w:eastAsia="宋体" w:cs="Times New Roman"/>
                <w:b w:val="0"/>
                <w:bCs/>
                <w:color w:val="auto"/>
                <w:kern w:val="2"/>
                <w:sz w:val="15"/>
                <w:szCs w:val="15"/>
                <w:highlight w:val="none"/>
                <w:lang w:eastAsia="zh-CN"/>
              </w:rPr>
            </w:pPr>
            <w:r>
              <w:rPr>
                <w:rFonts w:hint="default" w:ascii="Times New Roman" w:hAnsi="Times New Roman" w:eastAsia="宋体" w:cs="Times New Roman"/>
                <w:b w:val="0"/>
                <w:bCs/>
                <w:color w:val="auto"/>
                <w:kern w:val="2"/>
                <w:sz w:val="15"/>
                <w:szCs w:val="15"/>
                <w:highlight w:val="none"/>
                <w:lang w:eastAsia="zh-CN"/>
              </w:rPr>
              <w:t>四川瑞兴环保检测有限公司</w:t>
            </w:r>
          </w:p>
        </w:tc>
        <w:tc>
          <w:tcPr>
            <w:tcW w:w="1796" w:type="dxa"/>
            <w:gridSpan w:val="4"/>
            <w:tcMar>
              <w:left w:w="57" w:type="dxa"/>
              <w:right w:w="57" w:type="dxa"/>
            </w:tcMar>
            <w:vAlign w:val="center"/>
          </w:tcPr>
          <w:p>
            <w:pPr>
              <w:spacing w:after="0" w:afterLines="0"/>
              <w:jc w:val="both"/>
              <w:rPr>
                <w:rFonts w:hint="default" w:ascii="Times New Roman" w:hAnsi="Times New Roman" w:eastAsia="宋体" w:cs="Times New Roman"/>
                <w:b w:val="0"/>
                <w:bCs/>
                <w:color w:val="auto"/>
                <w:kern w:val="2"/>
                <w:sz w:val="15"/>
                <w:szCs w:val="15"/>
                <w:highlight w:val="none"/>
              </w:rPr>
            </w:pPr>
            <w:r>
              <w:rPr>
                <w:rFonts w:hint="default" w:ascii="Times New Roman" w:hAnsi="Times New Roman" w:eastAsia="宋体" w:cs="Times New Roman"/>
                <w:b/>
                <w:bCs w:val="0"/>
                <w:color w:val="auto"/>
                <w:kern w:val="2"/>
                <w:sz w:val="15"/>
                <w:szCs w:val="15"/>
                <w:highlight w:val="none"/>
              </w:rPr>
              <w:t>环保设施监测单位</w:t>
            </w:r>
          </w:p>
        </w:tc>
        <w:tc>
          <w:tcPr>
            <w:tcW w:w="4034" w:type="dxa"/>
            <w:gridSpan w:val="6"/>
            <w:tcMar>
              <w:left w:w="57" w:type="dxa"/>
              <w:right w:w="57" w:type="dxa"/>
            </w:tcMar>
            <w:vAlign w:val="center"/>
          </w:tcPr>
          <w:p>
            <w:pPr>
              <w:spacing w:after="0" w:afterLines="0"/>
              <w:jc w:val="left"/>
              <w:rPr>
                <w:rFonts w:hint="default" w:ascii="Times New Roman" w:hAnsi="Times New Roman" w:cs="Times New Roman"/>
                <w:color w:val="auto"/>
                <w:kern w:val="2"/>
                <w:sz w:val="15"/>
                <w:szCs w:val="15"/>
                <w:highlight w:val="none"/>
              </w:rPr>
            </w:pPr>
            <w:r>
              <w:rPr>
                <w:rFonts w:hint="default" w:ascii="Times New Roman" w:hAnsi="Times New Roman" w:eastAsia="宋体" w:cs="Times New Roman"/>
                <w:b w:val="0"/>
                <w:bCs/>
                <w:color w:val="auto"/>
                <w:kern w:val="2"/>
                <w:sz w:val="15"/>
                <w:szCs w:val="15"/>
                <w:highlight w:val="none"/>
                <w:lang w:eastAsia="zh-CN"/>
              </w:rPr>
              <w:t>四川瑞兴环保检测有限公司</w:t>
            </w:r>
          </w:p>
        </w:tc>
        <w:tc>
          <w:tcPr>
            <w:tcW w:w="1620" w:type="dxa"/>
            <w:gridSpan w:val="3"/>
            <w:tcMar>
              <w:left w:w="57" w:type="dxa"/>
              <w:right w:w="57" w:type="dxa"/>
            </w:tcMar>
            <w:vAlign w:val="top"/>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验收监测时工况</w:t>
            </w:r>
          </w:p>
        </w:tc>
        <w:tc>
          <w:tcPr>
            <w:tcW w:w="2434" w:type="dxa"/>
            <w:gridSpan w:val="5"/>
            <w:tcMar>
              <w:left w:w="57" w:type="dxa"/>
              <w:right w:w="57" w:type="dxa"/>
            </w:tcMar>
            <w:vAlign w:val="top"/>
          </w:tcPr>
          <w:p>
            <w:pPr>
              <w:spacing w:after="0" w:afterLines="0"/>
              <w:jc w:val="center"/>
              <w:rPr>
                <w:rFonts w:hint="default" w:ascii="Times New Roman" w:hAnsi="Times New Roman" w:cs="Times New Roman"/>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投资总概算（万元）</w:t>
            </w:r>
          </w:p>
        </w:tc>
        <w:tc>
          <w:tcPr>
            <w:tcW w:w="5397" w:type="dxa"/>
            <w:gridSpan w:val="8"/>
            <w:tcMar>
              <w:left w:w="57" w:type="dxa"/>
              <w:right w:w="57" w:type="dxa"/>
            </w:tcMar>
            <w:vAlign w:val="center"/>
          </w:tcPr>
          <w:p>
            <w:pPr>
              <w:spacing w:after="0" w:afterLines="0"/>
              <w:jc w:val="center"/>
              <w:rPr>
                <w:rFonts w:hint="default" w:ascii="Times New Roman" w:hAnsi="Times New Roman" w:eastAsia="微软雅黑" w:cs="Times New Roman"/>
                <w:b/>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274090</w:t>
            </w:r>
            <w:r>
              <w:rPr>
                <w:rFonts w:hint="default" w:ascii="Times New Roman" w:hAnsi="Times New Roman" w:cs="Times New Roman"/>
                <w:b w:val="0"/>
                <w:bCs/>
                <w:color w:val="auto"/>
                <w:kern w:val="2"/>
                <w:sz w:val="15"/>
                <w:szCs w:val="15"/>
                <w:highlight w:val="none"/>
                <w:lang w:val="en-US" w:eastAsia="zh-CN"/>
              </w:rPr>
              <w:t>万</w:t>
            </w:r>
          </w:p>
        </w:tc>
        <w:tc>
          <w:tcPr>
            <w:tcW w:w="2288" w:type="dxa"/>
            <w:gridSpan w:val="4"/>
            <w:tcMar>
              <w:left w:w="57" w:type="dxa"/>
              <w:right w:w="57" w:type="dxa"/>
            </w:tcMar>
            <w:vAlign w:val="center"/>
          </w:tcPr>
          <w:p>
            <w:pPr>
              <w:tabs>
                <w:tab w:val="left" w:pos="690"/>
              </w:tabs>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环保投资总概算（万元）</w:t>
            </w:r>
          </w:p>
        </w:tc>
        <w:tc>
          <w:tcPr>
            <w:tcW w:w="1746" w:type="dxa"/>
            <w:gridSpan w:val="2"/>
            <w:tcMar>
              <w:left w:w="57" w:type="dxa"/>
              <w:right w:w="57" w:type="dxa"/>
            </w:tcMar>
            <w:vAlign w:val="center"/>
          </w:tcPr>
          <w:p>
            <w:pPr>
              <w:spacing w:after="0" w:afterLines="0"/>
              <w:jc w:val="center"/>
              <w:rPr>
                <w:rFonts w:hint="default" w:ascii="Times New Roman" w:hAnsi="Times New Roman" w:eastAsia="微软雅黑" w:cs="Times New Roman"/>
                <w:b/>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192.3</w:t>
            </w:r>
            <w:r>
              <w:rPr>
                <w:rFonts w:hint="default" w:ascii="Times New Roman" w:hAnsi="Times New Roman" w:cs="Times New Roman"/>
                <w:b w:val="0"/>
                <w:bCs/>
                <w:color w:val="auto"/>
                <w:kern w:val="2"/>
                <w:sz w:val="15"/>
                <w:szCs w:val="15"/>
                <w:highlight w:val="none"/>
                <w:lang w:val="en-US" w:eastAsia="zh-CN"/>
              </w:rPr>
              <w:t>万</w:t>
            </w:r>
          </w:p>
        </w:tc>
        <w:tc>
          <w:tcPr>
            <w:tcW w:w="1620" w:type="dxa"/>
            <w:gridSpan w:val="3"/>
            <w:tcMar>
              <w:left w:w="57" w:type="dxa"/>
              <w:right w:w="57" w:type="dxa"/>
            </w:tcMar>
            <w:vAlign w:val="center"/>
          </w:tcPr>
          <w:p>
            <w:pPr>
              <w:tabs>
                <w:tab w:val="left" w:pos="690"/>
              </w:tabs>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所占比例（%）</w:t>
            </w:r>
          </w:p>
        </w:tc>
        <w:tc>
          <w:tcPr>
            <w:tcW w:w="2434" w:type="dxa"/>
            <w:gridSpan w:val="5"/>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lang w:val="en-US" w:eastAsia="zh-CN"/>
              </w:rPr>
            </w:pPr>
            <w:r>
              <w:rPr>
                <w:rFonts w:hint="eastAsia" w:ascii="Times New Roman" w:hAnsi="Times New Roman" w:cs="Times New Roman"/>
                <w:color w:val="auto"/>
                <w:kern w:val="2"/>
                <w:sz w:val="15"/>
                <w:szCs w:val="15"/>
                <w:highlight w:val="none"/>
                <w:lang w:val="en-US" w:eastAsia="zh-CN"/>
              </w:rPr>
              <w:t>0.07%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实际总投资</w:t>
            </w:r>
          </w:p>
        </w:tc>
        <w:tc>
          <w:tcPr>
            <w:tcW w:w="5397" w:type="dxa"/>
            <w:gridSpan w:val="8"/>
            <w:tcMar>
              <w:left w:w="57" w:type="dxa"/>
              <w:right w:w="57" w:type="dxa"/>
            </w:tcMar>
            <w:vAlign w:val="top"/>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100830</w:t>
            </w:r>
            <w:r>
              <w:rPr>
                <w:rFonts w:hint="default" w:ascii="Times New Roman" w:hAnsi="Times New Roman" w:cs="Times New Roman"/>
                <w:b w:val="0"/>
                <w:bCs/>
                <w:color w:val="auto"/>
                <w:kern w:val="2"/>
                <w:sz w:val="15"/>
                <w:szCs w:val="15"/>
                <w:highlight w:val="none"/>
                <w:lang w:val="en-US" w:eastAsia="zh-CN"/>
              </w:rPr>
              <w:t>万</w:t>
            </w:r>
          </w:p>
        </w:tc>
        <w:tc>
          <w:tcPr>
            <w:tcW w:w="2288" w:type="dxa"/>
            <w:gridSpan w:val="4"/>
            <w:tcMar>
              <w:left w:w="57" w:type="dxa"/>
              <w:right w:w="57" w:type="dxa"/>
            </w:tcMar>
            <w:vAlign w:val="center"/>
          </w:tcPr>
          <w:p>
            <w:pPr>
              <w:spacing w:after="0" w:afterLines="0"/>
              <w:ind w:right="30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实际环保投资（万元）</w:t>
            </w:r>
          </w:p>
        </w:tc>
        <w:tc>
          <w:tcPr>
            <w:tcW w:w="1746" w:type="dxa"/>
            <w:gridSpan w:val="2"/>
            <w:tcMar>
              <w:left w:w="57" w:type="dxa"/>
              <w:right w:w="57" w:type="dxa"/>
            </w:tcMar>
            <w:vAlign w:val="top"/>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192.3</w:t>
            </w:r>
            <w:r>
              <w:rPr>
                <w:rFonts w:hint="default" w:ascii="Times New Roman" w:hAnsi="Times New Roman" w:cs="Times New Roman"/>
                <w:b w:val="0"/>
                <w:bCs/>
                <w:color w:val="auto"/>
                <w:kern w:val="2"/>
                <w:sz w:val="15"/>
                <w:szCs w:val="15"/>
                <w:highlight w:val="none"/>
                <w:lang w:val="en-US" w:eastAsia="zh-CN"/>
              </w:rPr>
              <w:t>万</w:t>
            </w:r>
          </w:p>
        </w:tc>
        <w:tc>
          <w:tcPr>
            <w:tcW w:w="1620" w:type="dxa"/>
            <w:gridSpan w:val="3"/>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所占比例（%）</w:t>
            </w:r>
          </w:p>
        </w:tc>
        <w:tc>
          <w:tcPr>
            <w:tcW w:w="2434" w:type="dxa"/>
            <w:gridSpan w:val="5"/>
            <w:tcMar>
              <w:left w:w="57" w:type="dxa"/>
              <w:right w:w="57" w:type="dxa"/>
            </w:tcMar>
            <w:vAlign w:val="top"/>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eastAsia" w:ascii="Times New Roman" w:hAnsi="Times New Roman" w:cs="Times New Roman"/>
                <w:color w:val="auto"/>
                <w:kern w:val="2"/>
                <w:sz w:val="15"/>
                <w:szCs w:val="15"/>
                <w:highlight w:val="none"/>
                <w:lang w:val="en-US" w:eastAsia="zh-CN"/>
              </w:rPr>
              <w:t>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废水治理（万元）</w:t>
            </w:r>
          </w:p>
        </w:tc>
        <w:tc>
          <w:tcPr>
            <w:tcW w:w="82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27.3</w:t>
            </w:r>
          </w:p>
        </w:tc>
        <w:tc>
          <w:tcPr>
            <w:tcW w:w="138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废气治理（万元）</w:t>
            </w:r>
          </w:p>
        </w:tc>
        <w:tc>
          <w:tcPr>
            <w:tcW w:w="109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32.7</w:t>
            </w:r>
          </w:p>
        </w:tc>
        <w:tc>
          <w:tcPr>
            <w:tcW w:w="1234" w:type="dxa"/>
            <w:gridSpan w:val="4"/>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噪声治理（万元）</w:t>
            </w:r>
          </w:p>
        </w:tc>
        <w:tc>
          <w:tcPr>
            <w:tcW w:w="858"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7.6</w:t>
            </w:r>
          </w:p>
        </w:tc>
        <w:tc>
          <w:tcPr>
            <w:tcW w:w="2288" w:type="dxa"/>
            <w:gridSpan w:val="4"/>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固体废物治理（万元）</w:t>
            </w:r>
          </w:p>
        </w:tc>
        <w:tc>
          <w:tcPr>
            <w:tcW w:w="174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19.1</w:t>
            </w:r>
          </w:p>
        </w:tc>
        <w:tc>
          <w:tcPr>
            <w:tcW w:w="1620"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绿化及生态（万元）</w:t>
            </w:r>
          </w:p>
        </w:tc>
        <w:tc>
          <w:tcPr>
            <w:tcW w:w="735"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68</w:t>
            </w:r>
          </w:p>
        </w:tc>
        <w:tc>
          <w:tcPr>
            <w:tcW w:w="90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12.4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新增废水处理设施能力</w:t>
            </w:r>
          </w:p>
        </w:tc>
        <w:tc>
          <w:tcPr>
            <w:tcW w:w="5397" w:type="dxa"/>
            <w:gridSpan w:val="8"/>
            <w:tcMar>
              <w:left w:w="57" w:type="dxa"/>
              <w:right w:w="57" w:type="dxa"/>
            </w:tcMar>
            <w:vAlign w:val="top"/>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w:t>
            </w:r>
          </w:p>
        </w:tc>
        <w:tc>
          <w:tcPr>
            <w:tcW w:w="2288" w:type="dxa"/>
            <w:gridSpan w:val="4"/>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新增废气处理设施能力</w:t>
            </w:r>
          </w:p>
        </w:tc>
        <w:tc>
          <w:tcPr>
            <w:tcW w:w="1746" w:type="dxa"/>
            <w:gridSpan w:val="2"/>
            <w:tcMar>
              <w:left w:w="57" w:type="dxa"/>
              <w:right w:w="57" w:type="dxa"/>
            </w:tcMar>
            <w:vAlign w:val="top"/>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w:t>
            </w:r>
          </w:p>
        </w:tc>
        <w:tc>
          <w:tcPr>
            <w:tcW w:w="1620" w:type="dxa"/>
            <w:gridSpan w:val="3"/>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年平均工作时</w:t>
            </w:r>
          </w:p>
        </w:tc>
        <w:tc>
          <w:tcPr>
            <w:tcW w:w="2434" w:type="dxa"/>
            <w:gridSpan w:val="5"/>
            <w:tcMar>
              <w:left w:w="57" w:type="dxa"/>
              <w:right w:w="57" w:type="dxa"/>
            </w:tcMar>
            <w:vAlign w:val="top"/>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2400小时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运营单位</w:t>
            </w:r>
          </w:p>
        </w:tc>
        <w:tc>
          <w:tcPr>
            <w:tcW w:w="4292" w:type="dxa"/>
            <w:gridSpan w:val="5"/>
            <w:tcMar>
              <w:left w:w="57" w:type="dxa"/>
              <w:right w:w="57" w:type="dxa"/>
            </w:tcMar>
            <w:vAlign w:val="center"/>
          </w:tcPr>
          <w:p>
            <w:pPr>
              <w:spacing w:after="0" w:afterLines="0"/>
              <w:jc w:val="center"/>
              <w:rPr>
                <w:rFonts w:hint="default" w:ascii="Times New Roman" w:hAnsi="Times New Roman" w:eastAsia="微软雅黑" w:cs="Times New Roman"/>
                <w:color w:val="auto"/>
                <w:kern w:val="2"/>
                <w:sz w:val="15"/>
                <w:szCs w:val="15"/>
                <w:highlight w:val="none"/>
                <w:lang w:eastAsia="zh-CN"/>
              </w:rPr>
            </w:pPr>
          </w:p>
        </w:tc>
        <w:tc>
          <w:tcPr>
            <w:tcW w:w="3393" w:type="dxa"/>
            <w:gridSpan w:val="7"/>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p>
        </w:tc>
        <w:tc>
          <w:tcPr>
            <w:tcW w:w="1746" w:type="dxa"/>
            <w:gridSpan w:val="2"/>
            <w:tcMar>
              <w:left w:w="57" w:type="dxa"/>
              <w:right w:w="57" w:type="dxa"/>
            </w:tcMar>
            <w:vAlign w:val="center"/>
          </w:tcPr>
          <w:p>
            <w:pPr>
              <w:pStyle w:val="21"/>
              <w:keepNext w:val="0"/>
              <w:keepLines w:val="0"/>
              <w:widowControl/>
              <w:suppressLineNumbers w:val="0"/>
              <w:jc w:val="center"/>
              <w:rPr>
                <w:rFonts w:hint="default" w:ascii="Times New Roman" w:hAnsi="Times New Roman" w:eastAsia="微软雅黑" w:cs="Times New Roman"/>
                <w:b/>
                <w:color w:val="auto"/>
                <w:kern w:val="2"/>
                <w:sz w:val="15"/>
                <w:szCs w:val="15"/>
                <w:highlight w:val="none"/>
                <w:lang w:val="en-US" w:eastAsia="zh-CN"/>
              </w:rPr>
            </w:pPr>
          </w:p>
        </w:tc>
        <w:tc>
          <w:tcPr>
            <w:tcW w:w="1620" w:type="dxa"/>
            <w:gridSpan w:val="3"/>
            <w:tcMar>
              <w:left w:w="57" w:type="dxa"/>
              <w:right w:w="57" w:type="dxa"/>
            </w:tcMar>
            <w:vAlign w:val="center"/>
          </w:tcPr>
          <w:p>
            <w:pPr>
              <w:spacing w:after="0" w:afterLines="0"/>
              <w:jc w:val="center"/>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验收</w:t>
            </w:r>
            <w:r>
              <w:rPr>
                <w:rFonts w:hint="default" w:ascii="Times New Roman" w:hAnsi="Times New Roman" w:cs="Times New Roman"/>
                <w:b/>
                <w:color w:val="auto"/>
                <w:kern w:val="2"/>
                <w:sz w:val="15"/>
                <w:szCs w:val="15"/>
                <w:highlight w:val="none"/>
                <w:lang w:eastAsia="zh-CN"/>
              </w:rPr>
              <w:t>监测</w:t>
            </w:r>
            <w:r>
              <w:rPr>
                <w:rFonts w:hint="default" w:ascii="Times New Roman" w:hAnsi="Times New Roman" w:cs="Times New Roman"/>
                <w:b/>
                <w:color w:val="auto"/>
                <w:kern w:val="2"/>
                <w:sz w:val="15"/>
                <w:szCs w:val="15"/>
                <w:highlight w:val="none"/>
              </w:rPr>
              <w:t>时间</w:t>
            </w:r>
          </w:p>
        </w:tc>
        <w:tc>
          <w:tcPr>
            <w:tcW w:w="2434" w:type="dxa"/>
            <w:gridSpan w:val="5"/>
            <w:tcMar>
              <w:left w:w="57" w:type="dxa"/>
              <w:right w:w="57" w:type="dxa"/>
            </w:tcMar>
            <w:vAlign w:val="top"/>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2021年11月16日-17日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default" w:ascii="Times New Roman" w:hAnsi="Times New Roman" w:eastAsia="黑体" w:cs="Times New Roman"/>
                <w:b/>
                <w:color w:val="auto"/>
                <w:spacing w:val="20"/>
                <w:kern w:val="2"/>
                <w:sz w:val="15"/>
                <w:szCs w:val="15"/>
                <w:highlight w:val="none"/>
              </w:rPr>
            </w:pPr>
            <w:r>
              <w:rPr>
                <w:rFonts w:hint="default" w:ascii="Times New Roman" w:hAnsi="Times New Roman" w:eastAsia="黑体" w:cs="Times New Roman"/>
                <w:b/>
                <w:color w:val="auto"/>
                <w:spacing w:val="20"/>
                <w:kern w:val="2"/>
                <w:sz w:val="15"/>
                <w:szCs w:val="15"/>
                <w:highlight w:val="none"/>
              </w:rPr>
              <w:t>污染</w:t>
            </w:r>
          </w:p>
          <w:p>
            <w:pPr>
              <w:spacing w:after="0" w:afterLines="0"/>
              <w:rPr>
                <w:rFonts w:hint="default" w:ascii="Times New Roman" w:hAnsi="Times New Roman" w:eastAsia="黑体" w:cs="Times New Roman"/>
                <w:b/>
                <w:color w:val="auto"/>
                <w:spacing w:val="20"/>
                <w:kern w:val="2"/>
                <w:sz w:val="15"/>
                <w:szCs w:val="15"/>
                <w:highlight w:val="none"/>
              </w:rPr>
            </w:pPr>
            <w:r>
              <w:rPr>
                <w:rFonts w:hint="default" w:ascii="Times New Roman" w:hAnsi="Times New Roman" w:eastAsia="黑体" w:cs="Times New Roman"/>
                <w:b/>
                <w:color w:val="auto"/>
                <w:spacing w:val="20"/>
                <w:kern w:val="2"/>
                <w:sz w:val="15"/>
                <w:szCs w:val="15"/>
                <w:highlight w:val="none"/>
              </w:rPr>
              <w:t>物排</w:t>
            </w:r>
          </w:p>
          <w:p>
            <w:pPr>
              <w:spacing w:after="0" w:afterLines="0"/>
              <w:rPr>
                <w:rFonts w:hint="default" w:ascii="Times New Roman" w:hAnsi="Times New Roman" w:eastAsia="黑体" w:cs="Times New Roman"/>
                <w:b/>
                <w:color w:val="auto"/>
                <w:spacing w:val="20"/>
                <w:kern w:val="2"/>
                <w:sz w:val="15"/>
                <w:szCs w:val="15"/>
                <w:highlight w:val="none"/>
              </w:rPr>
            </w:pPr>
            <w:r>
              <w:rPr>
                <w:rFonts w:hint="default" w:ascii="Times New Roman" w:hAnsi="Times New Roman" w:eastAsia="黑体" w:cs="Times New Roman"/>
                <w:b/>
                <w:color w:val="auto"/>
                <w:spacing w:val="20"/>
                <w:kern w:val="2"/>
                <w:sz w:val="15"/>
                <w:szCs w:val="15"/>
                <w:highlight w:val="none"/>
              </w:rPr>
              <w:t>放达</w:t>
            </w:r>
          </w:p>
          <w:p>
            <w:pPr>
              <w:spacing w:after="0" w:afterLines="0"/>
              <w:rPr>
                <w:rFonts w:hint="default" w:ascii="Times New Roman" w:hAnsi="Times New Roman" w:eastAsia="黑体" w:cs="Times New Roman"/>
                <w:b/>
                <w:color w:val="auto"/>
                <w:spacing w:val="20"/>
                <w:kern w:val="2"/>
                <w:sz w:val="15"/>
                <w:szCs w:val="15"/>
                <w:highlight w:val="none"/>
              </w:rPr>
            </w:pPr>
            <w:r>
              <w:rPr>
                <w:rFonts w:hint="default" w:ascii="Times New Roman" w:hAnsi="Times New Roman" w:eastAsia="黑体" w:cs="Times New Roman"/>
                <w:b/>
                <w:color w:val="auto"/>
                <w:spacing w:val="20"/>
                <w:kern w:val="2"/>
                <w:sz w:val="15"/>
                <w:szCs w:val="15"/>
                <w:highlight w:val="none"/>
              </w:rPr>
              <w:t>标与</w:t>
            </w:r>
          </w:p>
          <w:p>
            <w:pPr>
              <w:spacing w:after="0" w:afterLines="0"/>
              <w:rPr>
                <w:rFonts w:hint="default" w:ascii="Times New Roman" w:hAnsi="Times New Roman" w:eastAsia="黑体" w:cs="Times New Roman"/>
                <w:b/>
                <w:color w:val="auto"/>
                <w:spacing w:val="20"/>
                <w:kern w:val="2"/>
                <w:sz w:val="15"/>
                <w:szCs w:val="15"/>
                <w:highlight w:val="none"/>
              </w:rPr>
            </w:pPr>
            <w:r>
              <w:rPr>
                <w:rFonts w:hint="default" w:ascii="Times New Roman" w:hAnsi="Times New Roman" w:eastAsia="黑体" w:cs="Times New Roman"/>
                <w:b/>
                <w:color w:val="auto"/>
                <w:spacing w:val="20"/>
                <w:kern w:val="2"/>
                <w:sz w:val="15"/>
                <w:szCs w:val="15"/>
                <w:highlight w:val="none"/>
              </w:rPr>
              <w:t>总量</w:t>
            </w:r>
          </w:p>
          <w:p>
            <w:pPr>
              <w:spacing w:after="0" w:afterLines="0"/>
              <w:rPr>
                <w:rFonts w:hint="default" w:ascii="Times New Roman" w:hAnsi="Times New Roman" w:eastAsia="黑体" w:cs="Times New Roman"/>
                <w:b/>
                <w:color w:val="auto"/>
                <w:spacing w:val="20"/>
                <w:kern w:val="2"/>
                <w:sz w:val="15"/>
                <w:szCs w:val="15"/>
                <w:highlight w:val="none"/>
              </w:rPr>
            </w:pPr>
            <w:r>
              <w:rPr>
                <w:rFonts w:hint="default" w:ascii="Times New Roman" w:hAnsi="Times New Roman" w:eastAsia="黑体" w:cs="Times New Roman"/>
                <w:b/>
                <w:color w:val="auto"/>
                <w:spacing w:val="20"/>
                <w:kern w:val="2"/>
                <w:sz w:val="15"/>
                <w:szCs w:val="15"/>
                <w:highlight w:val="none"/>
              </w:rPr>
              <w:t>控制（工</w:t>
            </w:r>
          </w:p>
          <w:p>
            <w:pPr>
              <w:spacing w:after="0" w:afterLines="0"/>
              <w:rPr>
                <w:rFonts w:hint="default" w:ascii="Times New Roman" w:hAnsi="Times New Roman" w:eastAsia="黑体" w:cs="Times New Roman"/>
                <w:b/>
                <w:color w:val="auto"/>
                <w:spacing w:val="20"/>
                <w:kern w:val="2"/>
                <w:sz w:val="15"/>
                <w:szCs w:val="15"/>
                <w:highlight w:val="none"/>
              </w:rPr>
            </w:pPr>
            <w:r>
              <w:rPr>
                <w:rFonts w:hint="default" w:ascii="Times New Roman" w:hAnsi="Times New Roman" w:eastAsia="黑体" w:cs="Times New Roman"/>
                <w:b/>
                <w:color w:val="auto"/>
                <w:spacing w:val="20"/>
                <w:kern w:val="2"/>
                <w:sz w:val="15"/>
                <w:szCs w:val="15"/>
                <w:highlight w:val="none"/>
              </w:rPr>
              <w:t>业建</w:t>
            </w:r>
          </w:p>
          <w:p>
            <w:pPr>
              <w:spacing w:after="0" w:afterLines="0"/>
              <w:rPr>
                <w:rFonts w:hint="default" w:ascii="Times New Roman" w:hAnsi="Times New Roman" w:eastAsia="黑体" w:cs="Times New Roman"/>
                <w:b/>
                <w:color w:val="auto"/>
                <w:spacing w:val="20"/>
                <w:kern w:val="2"/>
                <w:sz w:val="15"/>
                <w:szCs w:val="15"/>
                <w:highlight w:val="none"/>
              </w:rPr>
            </w:pPr>
            <w:r>
              <w:rPr>
                <w:rFonts w:hint="default" w:ascii="Times New Roman" w:hAnsi="Times New Roman" w:eastAsia="黑体" w:cs="Times New Roman"/>
                <w:b/>
                <w:color w:val="auto"/>
                <w:spacing w:val="20"/>
                <w:kern w:val="2"/>
                <w:sz w:val="15"/>
                <w:szCs w:val="15"/>
                <w:highlight w:val="none"/>
              </w:rPr>
              <w:t>设项</w:t>
            </w:r>
          </w:p>
          <w:p>
            <w:pPr>
              <w:spacing w:after="0" w:afterLines="0"/>
              <w:rPr>
                <w:rFonts w:hint="default" w:ascii="Times New Roman" w:hAnsi="Times New Roman" w:eastAsia="黑体" w:cs="Times New Roman"/>
                <w:b/>
                <w:color w:val="auto"/>
                <w:spacing w:val="20"/>
                <w:kern w:val="2"/>
                <w:sz w:val="15"/>
                <w:szCs w:val="15"/>
                <w:highlight w:val="none"/>
              </w:rPr>
            </w:pPr>
            <w:r>
              <w:rPr>
                <w:rFonts w:hint="default" w:ascii="Times New Roman" w:hAnsi="Times New Roman" w:eastAsia="黑体" w:cs="Times New Roman"/>
                <w:b/>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污染物</w:t>
            </w:r>
          </w:p>
        </w:tc>
        <w:tc>
          <w:tcPr>
            <w:tcW w:w="828" w:type="dxa"/>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原有排</w:t>
            </w:r>
          </w:p>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放量(1)</w:t>
            </w:r>
          </w:p>
        </w:tc>
        <w:tc>
          <w:tcPr>
            <w:tcW w:w="1380" w:type="dxa"/>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本期工程实际排放浓度(2)</w:t>
            </w:r>
          </w:p>
        </w:tc>
        <w:tc>
          <w:tcPr>
            <w:tcW w:w="1097" w:type="dxa"/>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本期工程允许排放浓度(3)</w:t>
            </w:r>
          </w:p>
        </w:tc>
        <w:tc>
          <w:tcPr>
            <w:tcW w:w="993" w:type="dxa"/>
            <w:gridSpan w:val="3"/>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本期工程产生量(4)</w:t>
            </w:r>
          </w:p>
        </w:tc>
        <w:tc>
          <w:tcPr>
            <w:tcW w:w="1100" w:type="dxa"/>
            <w:gridSpan w:val="3"/>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本期工程自身削减量(5)</w:t>
            </w:r>
          </w:p>
        </w:tc>
        <w:tc>
          <w:tcPr>
            <w:tcW w:w="1137" w:type="dxa"/>
            <w:gridSpan w:val="2"/>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本期工程实际排放量(6)</w:t>
            </w:r>
          </w:p>
        </w:tc>
        <w:tc>
          <w:tcPr>
            <w:tcW w:w="1150" w:type="dxa"/>
            <w:tcMar>
              <w:left w:w="57" w:type="dxa"/>
              <w:right w:w="57" w:type="dxa"/>
            </w:tcMar>
            <w:vAlign w:val="center"/>
          </w:tcPr>
          <w:p>
            <w:pPr>
              <w:spacing w:after="0" w:afterLines="0"/>
              <w:jc w:val="center"/>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本期工程核定排放总量(7)</w:t>
            </w:r>
          </w:p>
        </w:tc>
        <w:tc>
          <w:tcPr>
            <w:tcW w:w="1467" w:type="dxa"/>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本期工程“以新带老”削减量(8)</w:t>
            </w:r>
          </w:p>
        </w:tc>
        <w:tc>
          <w:tcPr>
            <w:tcW w:w="1192" w:type="dxa"/>
            <w:gridSpan w:val="3"/>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全厂实际排放总量(9)</w:t>
            </w:r>
          </w:p>
        </w:tc>
        <w:tc>
          <w:tcPr>
            <w:tcW w:w="1247" w:type="dxa"/>
            <w:gridSpan w:val="2"/>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全厂核定排放总量(10)</w:t>
            </w:r>
          </w:p>
        </w:tc>
        <w:tc>
          <w:tcPr>
            <w:tcW w:w="1100" w:type="dxa"/>
            <w:gridSpan w:val="2"/>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废水</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化学需氧量</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eastAsia="zh-CN"/>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eastAsia="zh-CN"/>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氨氮</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eastAsia="zh-CN"/>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石油类</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eastAsia="黑体"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废气</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eastAsia="zh-CN"/>
              </w:rPr>
            </w:pPr>
            <w:r>
              <w:rPr>
                <w:rFonts w:hint="default" w:ascii="Times New Roman" w:hAnsi="Times New Roman" w:cs="Times New Roman"/>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二氧化硫</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lang w:val="en-US"/>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lang w:val="en-US"/>
              </w:rPr>
            </w:pPr>
            <w:r>
              <w:rPr>
                <w:rFonts w:hint="default" w:ascii="Times New Roman" w:hAnsi="Times New Roman" w:cs="Times New Roman"/>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eastAsia="zh-CN"/>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烟尘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lang w:val="en-US"/>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工业粉尘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lang w:val="en-US"/>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p>
        </w:tc>
        <w:tc>
          <w:tcPr>
            <w:tcW w:w="993"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lang w:val="en-US"/>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氮氧化物</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lang w:val="en-US"/>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eastAsia="黑体"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工业固体废物</w:t>
            </w:r>
          </w:p>
        </w:tc>
        <w:tc>
          <w:tcPr>
            <w:tcW w:w="828"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221" w:type="dxa"/>
            <w:vMerge w:val="restart"/>
            <w:tcMar>
              <w:left w:w="57" w:type="dxa"/>
              <w:right w:w="57" w:type="dxa"/>
            </w:tcMar>
            <w:vAlign w:val="top"/>
          </w:tcPr>
          <w:p>
            <w:pPr>
              <w:spacing w:after="0" w:afterLines="0"/>
              <w:jc w:val="both"/>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与项目有关的其他特征污染物</w:t>
            </w:r>
          </w:p>
        </w:tc>
        <w:tc>
          <w:tcPr>
            <w:tcW w:w="576"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221" w:type="dxa"/>
            <w:vMerge w:val="continue"/>
            <w:tcMar>
              <w:left w:w="57" w:type="dxa"/>
              <w:right w:w="57" w:type="dxa"/>
            </w:tcMar>
            <w:vAlign w:val="top"/>
          </w:tcPr>
          <w:p>
            <w:pPr>
              <w:spacing w:after="0" w:afterLines="0"/>
              <w:rPr>
                <w:rFonts w:hint="default" w:ascii="Times New Roman" w:hAnsi="Times New Roman" w:cs="Times New Roman"/>
                <w:b/>
                <w:color w:val="auto"/>
                <w:kern w:val="2"/>
                <w:sz w:val="15"/>
                <w:szCs w:val="15"/>
                <w:highlight w:val="none"/>
              </w:rPr>
            </w:pPr>
          </w:p>
        </w:tc>
        <w:tc>
          <w:tcPr>
            <w:tcW w:w="576"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221" w:type="dxa"/>
            <w:vMerge w:val="continue"/>
            <w:tcMar>
              <w:left w:w="57" w:type="dxa"/>
              <w:right w:w="57" w:type="dxa"/>
            </w:tcMar>
            <w:vAlign w:val="top"/>
          </w:tcPr>
          <w:p>
            <w:pPr>
              <w:spacing w:after="0" w:afterLines="0"/>
              <w:rPr>
                <w:rFonts w:hint="default" w:ascii="Times New Roman" w:hAnsi="Times New Roman" w:cs="Times New Roman"/>
                <w:b/>
                <w:color w:val="auto"/>
                <w:kern w:val="2"/>
                <w:sz w:val="15"/>
                <w:szCs w:val="15"/>
                <w:highlight w:val="none"/>
              </w:rPr>
            </w:pPr>
          </w:p>
        </w:tc>
        <w:tc>
          <w:tcPr>
            <w:tcW w:w="576"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2"/>
                <w:sz w:val="15"/>
                <w:szCs w:val="15"/>
                <w:highlight w:val="none"/>
                <w:lang w:val="en-US" w:eastAsia="zh-CN"/>
              </w:rPr>
              <w:t>-</w:t>
            </w:r>
          </w:p>
        </w:tc>
      </w:tr>
    </w:tbl>
    <w:p>
      <w:pPr>
        <w:spacing w:after="0" w:afterLines="0"/>
        <w:rPr>
          <w:rFonts w:hint="default" w:ascii="Times New Roman" w:hAnsi="Times New Roman" w:cs="Times New Roman"/>
          <w:color w:val="auto"/>
          <w:sz w:val="15"/>
          <w:szCs w:val="15"/>
          <w:highlight w:val="none"/>
        </w:rPr>
      </w:pPr>
      <w:r>
        <w:rPr>
          <w:rFonts w:hint="default" w:ascii="Times New Roman" w:hAnsi="Times New Roman" w:cs="Times New Roman"/>
          <w:b/>
          <w:color w:val="auto"/>
          <w:sz w:val="15"/>
          <w:szCs w:val="15"/>
          <w:highlight w:val="none"/>
        </w:rPr>
        <w:t>注</w:t>
      </w:r>
      <w:r>
        <w:rPr>
          <w:rFonts w:hint="default" w:ascii="Times New Roman" w:hAnsi="Times New Roman" w:cs="Times New Roman"/>
          <w:color w:val="auto"/>
          <w:sz w:val="15"/>
          <w:szCs w:val="15"/>
          <w:highlight w:val="none"/>
        </w:rPr>
        <w:t>：1、</w:t>
      </w:r>
      <w:r>
        <w:rPr>
          <w:rFonts w:hint="default" w:ascii="Times New Roman" w:hAnsi="Times New Roman" w:cs="Times New Roman"/>
          <w:color w:val="auto"/>
          <w:spacing w:val="-4"/>
          <w:sz w:val="15"/>
          <w:szCs w:val="15"/>
          <w:highlight w:val="none"/>
        </w:rPr>
        <w:t>排放增减量：（+）表示增加，（-）表示减少。2、(12)=(6)-(8)-(11)，（9）= (4)-(5)-(8)- (11) +（1）。3、计量单位：废水排放量——万吨/年；废气排放量——万标立方米/年；工业固体废物排放</w:t>
      </w:r>
      <w:r>
        <w:rPr>
          <w:rFonts w:hint="default" w:ascii="Times New Roman" w:hAnsi="Times New Roman" w:cs="Times New Roman"/>
          <w:color w:val="auto"/>
          <w:sz w:val="15"/>
          <w:szCs w:val="15"/>
          <w:highlight w:val="none"/>
        </w:rPr>
        <w:t xml:space="preserve">量——万吨/年；水污染物排放浓度——毫克/升 </w:t>
      </w:r>
      <w:r>
        <w:rPr>
          <w:rFonts w:hint="default" w:ascii="Times New Roman" w:hAnsi="Times New Roman" w:cs="Times New Roman"/>
          <w:color w:val="auto"/>
          <w:sz w:val="15"/>
          <w:szCs w:val="15"/>
          <w:highlight w:val="none"/>
          <w:lang w:eastAsia="zh-CN"/>
        </w:rPr>
        <w:t>；</w:t>
      </w:r>
      <w:r>
        <w:rPr>
          <w:rFonts w:hint="default" w:ascii="Times New Roman" w:hAnsi="Times New Roman" w:cs="Times New Roman"/>
          <w:color w:val="auto"/>
          <w:sz w:val="15"/>
          <w:szCs w:val="15"/>
          <w:highlight w:val="none"/>
        </w:rPr>
        <w:t>大气污染物排放浓度——毫克/立方米；水污染物排放量——吨/年；大气污染物排放量——吨/年</w:t>
      </w:r>
    </w:p>
    <w:sectPr>
      <w:headerReference r:id="rId7" w:type="default"/>
      <w:footerReference r:id="rId8" w:type="default"/>
      <w:pgSz w:w="16838" w:h="11906" w:orient="landscape"/>
      <w:pgMar w:top="720" w:right="720" w:bottom="720" w:left="72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TimesNewRoman">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0" w:afterLines="0"/>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after="0" w:afterLines="0"/>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微软雅黑"/>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37</w:t>
                    </w:r>
                    <w:r>
                      <w:fldChar w:fldCharType="end"/>
                    </w:r>
                  </w:p>
                </w:txbxContent>
              </v:textbox>
            </v:shape>
          </w:pict>
        </mc:Fallback>
      </mc:AlternateContent>
    </w:r>
  </w:p>
  <w:p>
    <w:pPr>
      <w:pStyle w:val="17"/>
      <w:tabs>
        <w:tab w:val="left" w:pos="13642"/>
        <w:tab w:val="clear" w:pos="4153"/>
      </w:tabs>
      <w:spacing w:after="0" w:afterLines="0"/>
      <w:ind w:right="360"/>
      <w:rPr>
        <w:rFonts w:hint="default" w:eastAsia="微软雅黑"/>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val="en-US" w:eastAsia="zh-CN"/>
      </w:rPr>
      <w:t>成都工业学院宜宾产教融合实训基地建设项目</w:t>
    </w:r>
    <w:r>
      <w:rPr>
        <w:rFonts w:hint="eastAsia" w:ascii="宋体" w:hAnsi="宋体" w:eastAsia="宋体" w:cs="宋体"/>
        <w:b w:val="0"/>
        <w:bCs w:val="0"/>
        <w:color w:val="000000"/>
        <w:sz w:val="18"/>
        <w:szCs w:val="18"/>
      </w:rPr>
      <w:t>竣工环境保护验收监测报告表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900" w:firstLineChars="500"/>
      <w:jc w:val="both"/>
      <w:rPr>
        <w:rFonts w:hint="eastAsia" w:ascii="宋体" w:hAnsi="宋体" w:eastAsia="宋体" w:cs="宋体"/>
        <w:b w:val="0"/>
        <w:bCs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44FF2A"/>
    <w:multiLevelType w:val="singleLevel"/>
    <w:tmpl w:val="4C44FF2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208A"/>
    <w:rsid w:val="0015714D"/>
    <w:rsid w:val="00171CE6"/>
    <w:rsid w:val="001C7646"/>
    <w:rsid w:val="001E5A9F"/>
    <w:rsid w:val="00324EA1"/>
    <w:rsid w:val="00390140"/>
    <w:rsid w:val="00394EEE"/>
    <w:rsid w:val="003A6F7D"/>
    <w:rsid w:val="00477A32"/>
    <w:rsid w:val="00484647"/>
    <w:rsid w:val="004F297B"/>
    <w:rsid w:val="00503793"/>
    <w:rsid w:val="00524327"/>
    <w:rsid w:val="005662B6"/>
    <w:rsid w:val="006547DC"/>
    <w:rsid w:val="006977D3"/>
    <w:rsid w:val="006E4BEA"/>
    <w:rsid w:val="00733F8C"/>
    <w:rsid w:val="007B430C"/>
    <w:rsid w:val="00825EB3"/>
    <w:rsid w:val="008E7C69"/>
    <w:rsid w:val="00A45937"/>
    <w:rsid w:val="00A46DA4"/>
    <w:rsid w:val="00A53DFB"/>
    <w:rsid w:val="00AA737D"/>
    <w:rsid w:val="00AD20F7"/>
    <w:rsid w:val="00B36739"/>
    <w:rsid w:val="00C145B0"/>
    <w:rsid w:val="00CC0D54"/>
    <w:rsid w:val="00CE67FC"/>
    <w:rsid w:val="00D40C46"/>
    <w:rsid w:val="00E21751"/>
    <w:rsid w:val="00EE67A6"/>
    <w:rsid w:val="01043238"/>
    <w:rsid w:val="011410B7"/>
    <w:rsid w:val="011B24E6"/>
    <w:rsid w:val="011B4047"/>
    <w:rsid w:val="013018B4"/>
    <w:rsid w:val="01353B89"/>
    <w:rsid w:val="013677E1"/>
    <w:rsid w:val="013A6A04"/>
    <w:rsid w:val="014069CB"/>
    <w:rsid w:val="014864B4"/>
    <w:rsid w:val="0151647C"/>
    <w:rsid w:val="01582D7C"/>
    <w:rsid w:val="0159768B"/>
    <w:rsid w:val="01640ABC"/>
    <w:rsid w:val="016A3B76"/>
    <w:rsid w:val="016F5795"/>
    <w:rsid w:val="0176156C"/>
    <w:rsid w:val="01774754"/>
    <w:rsid w:val="01787B26"/>
    <w:rsid w:val="01794288"/>
    <w:rsid w:val="017A3EFF"/>
    <w:rsid w:val="01826850"/>
    <w:rsid w:val="01891DA7"/>
    <w:rsid w:val="019376A5"/>
    <w:rsid w:val="01960E0C"/>
    <w:rsid w:val="01A02284"/>
    <w:rsid w:val="01A0488B"/>
    <w:rsid w:val="01A142E4"/>
    <w:rsid w:val="01A720E5"/>
    <w:rsid w:val="01A85B5E"/>
    <w:rsid w:val="01AC33B8"/>
    <w:rsid w:val="01AF4846"/>
    <w:rsid w:val="01C2649F"/>
    <w:rsid w:val="01C904F6"/>
    <w:rsid w:val="01D52636"/>
    <w:rsid w:val="01E51CE4"/>
    <w:rsid w:val="01E7241D"/>
    <w:rsid w:val="01EE7993"/>
    <w:rsid w:val="01F1502A"/>
    <w:rsid w:val="01F85ED9"/>
    <w:rsid w:val="01FA194B"/>
    <w:rsid w:val="01FC11C0"/>
    <w:rsid w:val="02053E1D"/>
    <w:rsid w:val="020716F0"/>
    <w:rsid w:val="020A2A2B"/>
    <w:rsid w:val="020A6033"/>
    <w:rsid w:val="020D1FC6"/>
    <w:rsid w:val="020E12C2"/>
    <w:rsid w:val="02150A7B"/>
    <w:rsid w:val="022250E3"/>
    <w:rsid w:val="022E370A"/>
    <w:rsid w:val="02300857"/>
    <w:rsid w:val="02374030"/>
    <w:rsid w:val="02392872"/>
    <w:rsid w:val="0244098D"/>
    <w:rsid w:val="02453D57"/>
    <w:rsid w:val="02455CE6"/>
    <w:rsid w:val="02523B58"/>
    <w:rsid w:val="025971C0"/>
    <w:rsid w:val="025D3461"/>
    <w:rsid w:val="025F5532"/>
    <w:rsid w:val="02620AA2"/>
    <w:rsid w:val="02676EB9"/>
    <w:rsid w:val="026E480C"/>
    <w:rsid w:val="02704666"/>
    <w:rsid w:val="027352DB"/>
    <w:rsid w:val="02764199"/>
    <w:rsid w:val="028326BB"/>
    <w:rsid w:val="02834BDD"/>
    <w:rsid w:val="028407D7"/>
    <w:rsid w:val="0286382F"/>
    <w:rsid w:val="028E55F4"/>
    <w:rsid w:val="028F68AD"/>
    <w:rsid w:val="02940028"/>
    <w:rsid w:val="02957242"/>
    <w:rsid w:val="02976A4A"/>
    <w:rsid w:val="02987607"/>
    <w:rsid w:val="02994413"/>
    <w:rsid w:val="02AF3EC5"/>
    <w:rsid w:val="02B56FCA"/>
    <w:rsid w:val="02C62759"/>
    <w:rsid w:val="02CB6E75"/>
    <w:rsid w:val="02CE1ED6"/>
    <w:rsid w:val="02D8423A"/>
    <w:rsid w:val="02E14DC9"/>
    <w:rsid w:val="02E66F8F"/>
    <w:rsid w:val="02E714B7"/>
    <w:rsid w:val="02EE0E4A"/>
    <w:rsid w:val="02F50FC4"/>
    <w:rsid w:val="02F938C9"/>
    <w:rsid w:val="02FD4B85"/>
    <w:rsid w:val="030D3D02"/>
    <w:rsid w:val="031A5327"/>
    <w:rsid w:val="031B418A"/>
    <w:rsid w:val="031C32DB"/>
    <w:rsid w:val="032051A8"/>
    <w:rsid w:val="032E2B78"/>
    <w:rsid w:val="033D7A3A"/>
    <w:rsid w:val="03425643"/>
    <w:rsid w:val="034B77E0"/>
    <w:rsid w:val="0350697B"/>
    <w:rsid w:val="035437CB"/>
    <w:rsid w:val="03543ADB"/>
    <w:rsid w:val="03546615"/>
    <w:rsid w:val="036647B7"/>
    <w:rsid w:val="03695990"/>
    <w:rsid w:val="036A040C"/>
    <w:rsid w:val="036A27AE"/>
    <w:rsid w:val="036C3EB2"/>
    <w:rsid w:val="037135D3"/>
    <w:rsid w:val="03731EE3"/>
    <w:rsid w:val="03850F4B"/>
    <w:rsid w:val="038B5D88"/>
    <w:rsid w:val="038D1741"/>
    <w:rsid w:val="03961613"/>
    <w:rsid w:val="0399007A"/>
    <w:rsid w:val="039B49BF"/>
    <w:rsid w:val="03A36BB7"/>
    <w:rsid w:val="03A7771C"/>
    <w:rsid w:val="03AC6ACB"/>
    <w:rsid w:val="03AD7159"/>
    <w:rsid w:val="03B4302A"/>
    <w:rsid w:val="03B43185"/>
    <w:rsid w:val="03B8305E"/>
    <w:rsid w:val="03B930FE"/>
    <w:rsid w:val="03BB7D6D"/>
    <w:rsid w:val="03C65911"/>
    <w:rsid w:val="03C71BEE"/>
    <w:rsid w:val="03E1351C"/>
    <w:rsid w:val="03ED001D"/>
    <w:rsid w:val="0409164E"/>
    <w:rsid w:val="041342A0"/>
    <w:rsid w:val="041541FE"/>
    <w:rsid w:val="041C4B5B"/>
    <w:rsid w:val="041F6199"/>
    <w:rsid w:val="042108DC"/>
    <w:rsid w:val="042377B0"/>
    <w:rsid w:val="0429382C"/>
    <w:rsid w:val="042F55B8"/>
    <w:rsid w:val="0452327C"/>
    <w:rsid w:val="045367FE"/>
    <w:rsid w:val="04546D7D"/>
    <w:rsid w:val="04574918"/>
    <w:rsid w:val="046114C1"/>
    <w:rsid w:val="04633E3E"/>
    <w:rsid w:val="046C1991"/>
    <w:rsid w:val="0486369F"/>
    <w:rsid w:val="048869A6"/>
    <w:rsid w:val="04937FCD"/>
    <w:rsid w:val="049C0657"/>
    <w:rsid w:val="04AC3D64"/>
    <w:rsid w:val="04AD5F04"/>
    <w:rsid w:val="04AF61DF"/>
    <w:rsid w:val="04BC16DF"/>
    <w:rsid w:val="04C11DFC"/>
    <w:rsid w:val="04C34475"/>
    <w:rsid w:val="04C41983"/>
    <w:rsid w:val="04C44943"/>
    <w:rsid w:val="04C93C8A"/>
    <w:rsid w:val="04CC34F3"/>
    <w:rsid w:val="04DB1E08"/>
    <w:rsid w:val="04E12EFD"/>
    <w:rsid w:val="04E20DC3"/>
    <w:rsid w:val="04EC74CA"/>
    <w:rsid w:val="04F20177"/>
    <w:rsid w:val="04F3358D"/>
    <w:rsid w:val="04F50853"/>
    <w:rsid w:val="04F84A69"/>
    <w:rsid w:val="04FB5E59"/>
    <w:rsid w:val="04FF0C56"/>
    <w:rsid w:val="04FF401B"/>
    <w:rsid w:val="05074C9B"/>
    <w:rsid w:val="050947BE"/>
    <w:rsid w:val="051D4C47"/>
    <w:rsid w:val="051F425D"/>
    <w:rsid w:val="052218C5"/>
    <w:rsid w:val="05230B87"/>
    <w:rsid w:val="052A27B0"/>
    <w:rsid w:val="05310316"/>
    <w:rsid w:val="053A3B71"/>
    <w:rsid w:val="05437408"/>
    <w:rsid w:val="05440DC1"/>
    <w:rsid w:val="054860E5"/>
    <w:rsid w:val="054D7D37"/>
    <w:rsid w:val="0566721C"/>
    <w:rsid w:val="058E14CC"/>
    <w:rsid w:val="059173E4"/>
    <w:rsid w:val="05A80B7C"/>
    <w:rsid w:val="05AA0197"/>
    <w:rsid w:val="05AE2DBF"/>
    <w:rsid w:val="05B75F38"/>
    <w:rsid w:val="05BE7F58"/>
    <w:rsid w:val="05C602E8"/>
    <w:rsid w:val="05D224D2"/>
    <w:rsid w:val="05D352E9"/>
    <w:rsid w:val="05D4021A"/>
    <w:rsid w:val="05D47156"/>
    <w:rsid w:val="05DE3681"/>
    <w:rsid w:val="05E82D3C"/>
    <w:rsid w:val="05ED40C4"/>
    <w:rsid w:val="05F0479A"/>
    <w:rsid w:val="05F21268"/>
    <w:rsid w:val="05F837DE"/>
    <w:rsid w:val="0600588A"/>
    <w:rsid w:val="06025A6F"/>
    <w:rsid w:val="061146D4"/>
    <w:rsid w:val="06136573"/>
    <w:rsid w:val="06142D7D"/>
    <w:rsid w:val="06145A94"/>
    <w:rsid w:val="062C0322"/>
    <w:rsid w:val="062C6A26"/>
    <w:rsid w:val="06384B66"/>
    <w:rsid w:val="064636B5"/>
    <w:rsid w:val="064C0A9F"/>
    <w:rsid w:val="06512500"/>
    <w:rsid w:val="06550AF5"/>
    <w:rsid w:val="065B683A"/>
    <w:rsid w:val="067210B7"/>
    <w:rsid w:val="0674732D"/>
    <w:rsid w:val="06823497"/>
    <w:rsid w:val="06843645"/>
    <w:rsid w:val="06974E36"/>
    <w:rsid w:val="06976F86"/>
    <w:rsid w:val="069B444E"/>
    <w:rsid w:val="069E6EA6"/>
    <w:rsid w:val="069F2E1C"/>
    <w:rsid w:val="06A27607"/>
    <w:rsid w:val="06AC38D5"/>
    <w:rsid w:val="06AC4D3A"/>
    <w:rsid w:val="06AD447A"/>
    <w:rsid w:val="06AD4E4A"/>
    <w:rsid w:val="06B857CD"/>
    <w:rsid w:val="06BF5221"/>
    <w:rsid w:val="06C205F3"/>
    <w:rsid w:val="06C40BC5"/>
    <w:rsid w:val="06C45203"/>
    <w:rsid w:val="06CC2772"/>
    <w:rsid w:val="06D00D3E"/>
    <w:rsid w:val="06D34FA3"/>
    <w:rsid w:val="06DD6356"/>
    <w:rsid w:val="06E01DB3"/>
    <w:rsid w:val="06E55940"/>
    <w:rsid w:val="06E61141"/>
    <w:rsid w:val="06E7582B"/>
    <w:rsid w:val="06E91DBD"/>
    <w:rsid w:val="06EB6CD6"/>
    <w:rsid w:val="06ED4A95"/>
    <w:rsid w:val="06F56259"/>
    <w:rsid w:val="06FB0D7F"/>
    <w:rsid w:val="07054EB9"/>
    <w:rsid w:val="07071A06"/>
    <w:rsid w:val="0707291B"/>
    <w:rsid w:val="070C4AED"/>
    <w:rsid w:val="070E0695"/>
    <w:rsid w:val="07106085"/>
    <w:rsid w:val="071307F3"/>
    <w:rsid w:val="07144B37"/>
    <w:rsid w:val="07176614"/>
    <w:rsid w:val="071E00C0"/>
    <w:rsid w:val="0720101B"/>
    <w:rsid w:val="07236922"/>
    <w:rsid w:val="072F1EC0"/>
    <w:rsid w:val="0730631F"/>
    <w:rsid w:val="073C0103"/>
    <w:rsid w:val="07400478"/>
    <w:rsid w:val="07411BD0"/>
    <w:rsid w:val="075F536C"/>
    <w:rsid w:val="07701D5E"/>
    <w:rsid w:val="07724F9F"/>
    <w:rsid w:val="077B7056"/>
    <w:rsid w:val="077C69E2"/>
    <w:rsid w:val="0780213C"/>
    <w:rsid w:val="078F179D"/>
    <w:rsid w:val="078F3A40"/>
    <w:rsid w:val="07943377"/>
    <w:rsid w:val="079A1722"/>
    <w:rsid w:val="07A25C82"/>
    <w:rsid w:val="07A5717B"/>
    <w:rsid w:val="07B36294"/>
    <w:rsid w:val="07BA65BA"/>
    <w:rsid w:val="07C56559"/>
    <w:rsid w:val="07D563A9"/>
    <w:rsid w:val="07D655B2"/>
    <w:rsid w:val="07D77C87"/>
    <w:rsid w:val="07DF322F"/>
    <w:rsid w:val="07E92067"/>
    <w:rsid w:val="07EE4583"/>
    <w:rsid w:val="07F82AFF"/>
    <w:rsid w:val="080C13F0"/>
    <w:rsid w:val="080D4BA8"/>
    <w:rsid w:val="08133D5C"/>
    <w:rsid w:val="08186496"/>
    <w:rsid w:val="08225E02"/>
    <w:rsid w:val="08266339"/>
    <w:rsid w:val="083413C6"/>
    <w:rsid w:val="083F7D5D"/>
    <w:rsid w:val="08404BA5"/>
    <w:rsid w:val="08414249"/>
    <w:rsid w:val="08442FEF"/>
    <w:rsid w:val="084521A2"/>
    <w:rsid w:val="084601FE"/>
    <w:rsid w:val="084C35BA"/>
    <w:rsid w:val="08556B9D"/>
    <w:rsid w:val="085D381E"/>
    <w:rsid w:val="0860220B"/>
    <w:rsid w:val="08645E42"/>
    <w:rsid w:val="087766B3"/>
    <w:rsid w:val="087D6D96"/>
    <w:rsid w:val="088D10D1"/>
    <w:rsid w:val="088D2291"/>
    <w:rsid w:val="089D2638"/>
    <w:rsid w:val="08A173E0"/>
    <w:rsid w:val="08A558D5"/>
    <w:rsid w:val="08A743FC"/>
    <w:rsid w:val="08AD2444"/>
    <w:rsid w:val="08AE2107"/>
    <w:rsid w:val="08B41C85"/>
    <w:rsid w:val="08B75AC1"/>
    <w:rsid w:val="08BB168E"/>
    <w:rsid w:val="08C70B8E"/>
    <w:rsid w:val="08D022E1"/>
    <w:rsid w:val="08D66A34"/>
    <w:rsid w:val="08D85330"/>
    <w:rsid w:val="08D9102A"/>
    <w:rsid w:val="08D954D7"/>
    <w:rsid w:val="08DF75A4"/>
    <w:rsid w:val="08E65C87"/>
    <w:rsid w:val="08E8180A"/>
    <w:rsid w:val="08EA64A4"/>
    <w:rsid w:val="08F0095E"/>
    <w:rsid w:val="08FC68E3"/>
    <w:rsid w:val="08FD5462"/>
    <w:rsid w:val="08FF2D99"/>
    <w:rsid w:val="091B7CC1"/>
    <w:rsid w:val="092163F6"/>
    <w:rsid w:val="09286E03"/>
    <w:rsid w:val="092A075A"/>
    <w:rsid w:val="092C067C"/>
    <w:rsid w:val="09363C1D"/>
    <w:rsid w:val="093B1D01"/>
    <w:rsid w:val="093B3834"/>
    <w:rsid w:val="094E19AB"/>
    <w:rsid w:val="095104DE"/>
    <w:rsid w:val="09526BD2"/>
    <w:rsid w:val="09582CA1"/>
    <w:rsid w:val="09593ED4"/>
    <w:rsid w:val="0960603C"/>
    <w:rsid w:val="096137FA"/>
    <w:rsid w:val="09621D0E"/>
    <w:rsid w:val="096607D5"/>
    <w:rsid w:val="09664863"/>
    <w:rsid w:val="097D2B0A"/>
    <w:rsid w:val="097F4D5C"/>
    <w:rsid w:val="098721AD"/>
    <w:rsid w:val="0992090D"/>
    <w:rsid w:val="09950CC8"/>
    <w:rsid w:val="09955652"/>
    <w:rsid w:val="099646AE"/>
    <w:rsid w:val="099D0194"/>
    <w:rsid w:val="09A946BB"/>
    <w:rsid w:val="09AC24BB"/>
    <w:rsid w:val="09BA45A9"/>
    <w:rsid w:val="09BE1555"/>
    <w:rsid w:val="09BE541A"/>
    <w:rsid w:val="09C10CB3"/>
    <w:rsid w:val="09C20A9D"/>
    <w:rsid w:val="09C305B7"/>
    <w:rsid w:val="09D3776F"/>
    <w:rsid w:val="09D81CB0"/>
    <w:rsid w:val="09DB0759"/>
    <w:rsid w:val="09DB2E13"/>
    <w:rsid w:val="09DB71C6"/>
    <w:rsid w:val="09DC58AC"/>
    <w:rsid w:val="09E2707D"/>
    <w:rsid w:val="09E460D5"/>
    <w:rsid w:val="09E60634"/>
    <w:rsid w:val="09E837F3"/>
    <w:rsid w:val="09EA40C2"/>
    <w:rsid w:val="09EB62BA"/>
    <w:rsid w:val="09ED61B3"/>
    <w:rsid w:val="09F3229A"/>
    <w:rsid w:val="09F430DB"/>
    <w:rsid w:val="09F50453"/>
    <w:rsid w:val="09F879E7"/>
    <w:rsid w:val="0A092819"/>
    <w:rsid w:val="0A0B6DC9"/>
    <w:rsid w:val="0A1A1292"/>
    <w:rsid w:val="0A1D3A4E"/>
    <w:rsid w:val="0A1F7FF2"/>
    <w:rsid w:val="0A264970"/>
    <w:rsid w:val="0A295B26"/>
    <w:rsid w:val="0A2960F6"/>
    <w:rsid w:val="0A2D6D8E"/>
    <w:rsid w:val="0A356925"/>
    <w:rsid w:val="0A392C4C"/>
    <w:rsid w:val="0A39326D"/>
    <w:rsid w:val="0A4252EA"/>
    <w:rsid w:val="0A45356F"/>
    <w:rsid w:val="0A573739"/>
    <w:rsid w:val="0A6357FB"/>
    <w:rsid w:val="0A6F6966"/>
    <w:rsid w:val="0A7D7F5C"/>
    <w:rsid w:val="0A7F7454"/>
    <w:rsid w:val="0A8143FC"/>
    <w:rsid w:val="0A87556A"/>
    <w:rsid w:val="0A885C06"/>
    <w:rsid w:val="0A8B09F4"/>
    <w:rsid w:val="0A8D400F"/>
    <w:rsid w:val="0A9F4B26"/>
    <w:rsid w:val="0AA246BD"/>
    <w:rsid w:val="0AA41840"/>
    <w:rsid w:val="0AA97202"/>
    <w:rsid w:val="0AAB6544"/>
    <w:rsid w:val="0AB50897"/>
    <w:rsid w:val="0AB54426"/>
    <w:rsid w:val="0ABA5C13"/>
    <w:rsid w:val="0ABD4A69"/>
    <w:rsid w:val="0AC02196"/>
    <w:rsid w:val="0AC5787C"/>
    <w:rsid w:val="0AC63D10"/>
    <w:rsid w:val="0ACB1060"/>
    <w:rsid w:val="0AD947D1"/>
    <w:rsid w:val="0ADB3102"/>
    <w:rsid w:val="0ADC4FDA"/>
    <w:rsid w:val="0ADF7B4E"/>
    <w:rsid w:val="0AE3133B"/>
    <w:rsid w:val="0AE66A94"/>
    <w:rsid w:val="0AF86196"/>
    <w:rsid w:val="0AFE62D1"/>
    <w:rsid w:val="0B000813"/>
    <w:rsid w:val="0B060BCB"/>
    <w:rsid w:val="0B0E52F8"/>
    <w:rsid w:val="0B1021CE"/>
    <w:rsid w:val="0B173B91"/>
    <w:rsid w:val="0B221824"/>
    <w:rsid w:val="0B244D3D"/>
    <w:rsid w:val="0B276E57"/>
    <w:rsid w:val="0B285CBD"/>
    <w:rsid w:val="0B314911"/>
    <w:rsid w:val="0B395EEF"/>
    <w:rsid w:val="0B3A1664"/>
    <w:rsid w:val="0B3C4547"/>
    <w:rsid w:val="0B4D3FF7"/>
    <w:rsid w:val="0B57012A"/>
    <w:rsid w:val="0B622ACA"/>
    <w:rsid w:val="0B636DBF"/>
    <w:rsid w:val="0B6E39A4"/>
    <w:rsid w:val="0B786362"/>
    <w:rsid w:val="0B84459D"/>
    <w:rsid w:val="0B9D03C3"/>
    <w:rsid w:val="0BAA4DE3"/>
    <w:rsid w:val="0BBC668C"/>
    <w:rsid w:val="0BC26DFF"/>
    <w:rsid w:val="0BC52E65"/>
    <w:rsid w:val="0BCA67E3"/>
    <w:rsid w:val="0BCF47DF"/>
    <w:rsid w:val="0BCF6C4C"/>
    <w:rsid w:val="0BD55A3B"/>
    <w:rsid w:val="0BE85CC4"/>
    <w:rsid w:val="0BEB611F"/>
    <w:rsid w:val="0BF00A93"/>
    <w:rsid w:val="0BF62B07"/>
    <w:rsid w:val="0BF73838"/>
    <w:rsid w:val="0BF92365"/>
    <w:rsid w:val="0C0374F7"/>
    <w:rsid w:val="0C0476D2"/>
    <w:rsid w:val="0C0B7503"/>
    <w:rsid w:val="0C0D07EB"/>
    <w:rsid w:val="0C10621D"/>
    <w:rsid w:val="0C1C0C5A"/>
    <w:rsid w:val="0C1D2CDD"/>
    <w:rsid w:val="0C3C7991"/>
    <w:rsid w:val="0C3E254A"/>
    <w:rsid w:val="0C431DD2"/>
    <w:rsid w:val="0C432DAF"/>
    <w:rsid w:val="0C5705E3"/>
    <w:rsid w:val="0C573FCA"/>
    <w:rsid w:val="0C5C754F"/>
    <w:rsid w:val="0C6841A5"/>
    <w:rsid w:val="0C7530EF"/>
    <w:rsid w:val="0C86284F"/>
    <w:rsid w:val="0C8A05EE"/>
    <w:rsid w:val="0C8F2DEE"/>
    <w:rsid w:val="0C995FAE"/>
    <w:rsid w:val="0CAB0722"/>
    <w:rsid w:val="0CAE175F"/>
    <w:rsid w:val="0CB30421"/>
    <w:rsid w:val="0CB377A7"/>
    <w:rsid w:val="0CBE02B0"/>
    <w:rsid w:val="0CD1575E"/>
    <w:rsid w:val="0CD56AD0"/>
    <w:rsid w:val="0CE80462"/>
    <w:rsid w:val="0CE96D5C"/>
    <w:rsid w:val="0CEA7000"/>
    <w:rsid w:val="0CEF7585"/>
    <w:rsid w:val="0D040177"/>
    <w:rsid w:val="0D0419C3"/>
    <w:rsid w:val="0D052D48"/>
    <w:rsid w:val="0D0E32AE"/>
    <w:rsid w:val="0D101EB2"/>
    <w:rsid w:val="0D151F10"/>
    <w:rsid w:val="0D1738C1"/>
    <w:rsid w:val="0D260688"/>
    <w:rsid w:val="0D2B1802"/>
    <w:rsid w:val="0D2B5209"/>
    <w:rsid w:val="0D38553C"/>
    <w:rsid w:val="0D467F24"/>
    <w:rsid w:val="0D4875BD"/>
    <w:rsid w:val="0D4A480C"/>
    <w:rsid w:val="0D4A6BA0"/>
    <w:rsid w:val="0D4B006A"/>
    <w:rsid w:val="0D4B18CE"/>
    <w:rsid w:val="0D4C6853"/>
    <w:rsid w:val="0D4D5FCC"/>
    <w:rsid w:val="0D572B36"/>
    <w:rsid w:val="0D5752B0"/>
    <w:rsid w:val="0D5F3995"/>
    <w:rsid w:val="0D5F50B8"/>
    <w:rsid w:val="0D686066"/>
    <w:rsid w:val="0D6905E2"/>
    <w:rsid w:val="0D6D2D85"/>
    <w:rsid w:val="0D767AA1"/>
    <w:rsid w:val="0D7A462E"/>
    <w:rsid w:val="0D890965"/>
    <w:rsid w:val="0D8C6A06"/>
    <w:rsid w:val="0D8D5CDC"/>
    <w:rsid w:val="0D9073B1"/>
    <w:rsid w:val="0D9908A4"/>
    <w:rsid w:val="0DB65174"/>
    <w:rsid w:val="0DB872F7"/>
    <w:rsid w:val="0DCB58C4"/>
    <w:rsid w:val="0DD15779"/>
    <w:rsid w:val="0DD16BE2"/>
    <w:rsid w:val="0DD22791"/>
    <w:rsid w:val="0DD87EB6"/>
    <w:rsid w:val="0DD9661B"/>
    <w:rsid w:val="0DE71996"/>
    <w:rsid w:val="0DE85414"/>
    <w:rsid w:val="0DED71F6"/>
    <w:rsid w:val="0DED7218"/>
    <w:rsid w:val="0DEF7A4F"/>
    <w:rsid w:val="0DFD1692"/>
    <w:rsid w:val="0E024D43"/>
    <w:rsid w:val="0E0314A3"/>
    <w:rsid w:val="0E097FB0"/>
    <w:rsid w:val="0E0E5958"/>
    <w:rsid w:val="0E0E7627"/>
    <w:rsid w:val="0E14644A"/>
    <w:rsid w:val="0E1C5B18"/>
    <w:rsid w:val="0E2332A1"/>
    <w:rsid w:val="0E256295"/>
    <w:rsid w:val="0E345C04"/>
    <w:rsid w:val="0E40117D"/>
    <w:rsid w:val="0E62780D"/>
    <w:rsid w:val="0E657B05"/>
    <w:rsid w:val="0E6F561F"/>
    <w:rsid w:val="0E74311C"/>
    <w:rsid w:val="0E8039D2"/>
    <w:rsid w:val="0E826A18"/>
    <w:rsid w:val="0E8C266D"/>
    <w:rsid w:val="0E8D3BBB"/>
    <w:rsid w:val="0E8D7587"/>
    <w:rsid w:val="0E9250F2"/>
    <w:rsid w:val="0E9F7B5D"/>
    <w:rsid w:val="0EA01FDD"/>
    <w:rsid w:val="0EA23E1B"/>
    <w:rsid w:val="0EA3716D"/>
    <w:rsid w:val="0EBC2E17"/>
    <w:rsid w:val="0EC43A87"/>
    <w:rsid w:val="0EC57F31"/>
    <w:rsid w:val="0ECA7756"/>
    <w:rsid w:val="0ED226EC"/>
    <w:rsid w:val="0ED97056"/>
    <w:rsid w:val="0EE45D41"/>
    <w:rsid w:val="0EE64FF9"/>
    <w:rsid w:val="0EE90D98"/>
    <w:rsid w:val="0EEF78C4"/>
    <w:rsid w:val="0EF24DFF"/>
    <w:rsid w:val="0F00634E"/>
    <w:rsid w:val="0F0E4DF0"/>
    <w:rsid w:val="0F197B03"/>
    <w:rsid w:val="0F203AA7"/>
    <w:rsid w:val="0F274B6D"/>
    <w:rsid w:val="0F29598F"/>
    <w:rsid w:val="0F2F12DB"/>
    <w:rsid w:val="0F30068C"/>
    <w:rsid w:val="0F3059AB"/>
    <w:rsid w:val="0F423246"/>
    <w:rsid w:val="0F475751"/>
    <w:rsid w:val="0F59497A"/>
    <w:rsid w:val="0F69659D"/>
    <w:rsid w:val="0F697D1C"/>
    <w:rsid w:val="0F6A7FD3"/>
    <w:rsid w:val="0F6B5060"/>
    <w:rsid w:val="0F705C4F"/>
    <w:rsid w:val="0F707D83"/>
    <w:rsid w:val="0F754ACD"/>
    <w:rsid w:val="0F756835"/>
    <w:rsid w:val="0F791FE1"/>
    <w:rsid w:val="0F8541EC"/>
    <w:rsid w:val="0F9738F0"/>
    <w:rsid w:val="0F9B2549"/>
    <w:rsid w:val="0FA0189F"/>
    <w:rsid w:val="0FA12A8B"/>
    <w:rsid w:val="0FA40A61"/>
    <w:rsid w:val="0FA809E7"/>
    <w:rsid w:val="0FDC226D"/>
    <w:rsid w:val="0FE5379B"/>
    <w:rsid w:val="0FE54363"/>
    <w:rsid w:val="0FE92780"/>
    <w:rsid w:val="0FF24279"/>
    <w:rsid w:val="0FF65153"/>
    <w:rsid w:val="0FF970C8"/>
    <w:rsid w:val="101022FE"/>
    <w:rsid w:val="10133319"/>
    <w:rsid w:val="10137062"/>
    <w:rsid w:val="101449EB"/>
    <w:rsid w:val="10157999"/>
    <w:rsid w:val="101914CE"/>
    <w:rsid w:val="101A187F"/>
    <w:rsid w:val="101A6B90"/>
    <w:rsid w:val="101B6706"/>
    <w:rsid w:val="10275A22"/>
    <w:rsid w:val="10326DA1"/>
    <w:rsid w:val="103543B2"/>
    <w:rsid w:val="10387591"/>
    <w:rsid w:val="10477123"/>
    <w:rsid w:val="105407A9"/>
    <w:rsid w:val="10544E32"/>
    <w:rsid w:val="105C234B"/>
    <w:rsid w:val="105F7B61"/>
    <w:rsid w:val="106718F0"/>
    <w:rsid w:val="106958DD"/>
    <w:rsid w:val="106C232A"/>
    <w:rsid w:val="106F01FE"/>
    <w:rsid w:val="10710A46"/>
    <w:rsid w:val="10730EEE"/>
    <w:rsid w:val="107F7EB6"/>
    <w:rsid w:val="108638AA"/>
    <w:rsid w:val="10876079"/>
    <w:rsid w:val="1088201B"/>
    <w:rsid w:val="108E35EF"/>
    <w:rsid w:val="10982D11"/>
    <w:rsid w:val="10996276"/>
    <w:rsid w:val="109B19D7"/>
    <w:rsid w:val="109D5692"/>
    <w:rsid w:val="10AA552D"/>
    <w:rsid w:val="10B050F0"/>
    <w:rsid w:val="10B362AD"/>
    <w:rsid w:val="10B94B02"/>
    <w:rsid w:val="10D37303"/>
    <w:rsid w:val="10D4600E"/>
    <w:rsid w:val="10D76365"/>
    <w:rsid w:val="10E55650"/>
    <w:rsid w:val="10EF65EA"/>
    <w:rsid w:val="10FC6D11"/>
    <w:rsid w:val="110D40F5"/>
    <w:rsid w:val="112503AE"/>
    <w:rsid w:val="11251BEB"/>
    <w:rsid w:val="112C077C"/>
    <w:rsid w:val="113B6A68"/>
    <w:rsid w:val="113D1395"/>
    <w:rsid w:val="11484FC7"/>
    <w:rsid w:val="114E4D86"/>
    <w:rsid w:val="114F02A5"/>
    <w:rsid w:val="11596EFA"/>
    <w:rsid w:val="115F5A19"/>
    <w:rsid w:val="11624B35"/>
    <w:rsid w:val="11655025"/>
    <w:rsid w:val="11665232"/>
    <w:rsid w:val="116C1750"/>
    <w:rsid w:val="118612DF"/>
    <w:rsid w:val="119205A6"/>
    <w:rsid w:val="11963DD2"/>
    <w:rsid w:val="119654C4"/>
    <w:rsid w:val="119A0253"/>
    <w:rsid w:val="11A006DD"/>
    <w:rsid w:val="11A12EF2"/>
    <w:rsid w:val="11B019D4"/>
    <w:rsid w:val="11B70A16"/>
    <w:rsid w:val="11C02F6B"/>
    <w:rsid w:val="11C42682"/>
    <w:rsid w:val="11C778A9"/>
    <w:rsid w:val="11C96D73"/>
    <w:rsid w:val="11CD5CE8"/>
    <w:rsid w:val="11CF7C46"/>
    <w:rsid w:val="11D4086A"/>
    <w:rsid w:val="11D658FE"/>
    <w:rsid w:val="11D76E8F"/>
    <w:rsid w:val="11E51019"/>
    <w:rsid w:val="11E72F4F"/>
    <w:rsid w:val="11E73AB1"/>
    <w:rsid w:val="11E8790B"/>
    <w:rsid w:val="11F1750E"/>
    <w:rsid w:val="12076E12"/>
    <w:rsid w:val="12175CC9"/>
    <w:rsid w:val="1224468E"/>
    <w:rsid w:val="12265A6B"/>
    <w:rsid w:val="12280790"/>
    <w:rsid w:val="122D0280"/>
    <w:rsid w:val="122F0D84"/>
    <w:rsid w:val="1236125C"/>
    <w:rsid w:val="123A6FB4"/>
    <w:rsid w:val="123B2A3E"/>
    <w:rsid w:val="124014C3"/>
    <w:rsid w:val="124B53F2"/>
    <w:rsid w:val="124F1D68"/>
    <w:rsid w:val="125015BB"/>
    <w:rsid w:val="125229B2"/>
    <w:rsid w:val="125D0F7B"/>
    <w:rsid w:val="1270561C"/>
    <w:rsid w:val="1277453B"/>
    <w:rsid w:val="127968BD"/>
    <w:rsid w:val="127C55DD"/>
    <w:rsid w:val="12837A33"/>
    <w:rsid w:val="12862F1D"/>
    <w:rsid w:val="129251FD"/>
    <w:rsid w:val="12990CCC"/>
    <w:rsid w:val="129B4429"/>
    <w:rsid w:val="129F17C2"/>
    <w:rsid w:val="129F22F8"/>
    <w:rsid w:val="12A01E5A"/>
    <w:rsid w:val="12A22825"/>
    <w:rsid w:val="12A65465"/>
    <w:rsid w:val="12B3173B"/>
    <w:rsid w:val="12B67FF5"/>
    <w:rsid w:val="12BF7013"/>
    <w:rsid w:val="12C11142"/>
    <w:rsid w:val="12C13D57"/>
    <w:rsid w:val="12C30229"/>
    <w:rsid w:val="12CB21AA"/>
    <w:rsid w:val="12CD0193"/>
    <w:rsid w:val="12D01E8B"/>
    <w:rsid w:val="12D02395"/>
    <w:rsid w:val="12D57B4B"/>
    <w:rsid w:val="12DE4CF2"/>
    <w:rsid w:val="12E012D7"/>
    <w:rsid w:val="12E65EEE"/>
    <w:rsid w:val="12F02AF0"/>
    <w:rsid w:val="1308775F"/>
    <w:rsid w:val="130F3F1C"/>
    <w:rsid w:val="13140CC2"/>
    <w:rsid w:val="13151194"/>
    <w:rsid w:val="131E3F9A"/>
    <w:rsid w:val="1320263A"/>
    <w:rsid w:val="13260E68"/>
    <w:rsid w:val="13280686"/>
    <w:rsid w:val="132A5F33"/>
    <w:rsid w:val="13342F0F"/>
    <w:rsid w:val="133D287D"/>
    <w:rsid w:val="13403A19"/>
    <w:rsid w:val="13437ABE"/>
    <w:rsid w:val="13446859"/>
    <w:rsid w:val="134567D7"/>
    <w:rsid w:val="134C474D"/>
    <w:rsid w:val="134F41BE"/>
    <w:rsid w:val="1357293D"/>
    <w:rsid w:val="13596537"/>
    <w:rsid w:val="135C6E1F"/>
    <w:rsid w:val="13643703"/>
    <w:rsid w:val="137257FA"/>
    <w:rsid w:val="1373173B"/>
    <w:rsid w:val="138909E2"/>
    <w:rsid w:val="138E3A15"/>
    <w:rsid w:val="139619A6"/>
    <w:rsid w:val="13A66BAC"/>
    <w:rsid w:val="13AB4257"/>
    <w:rsid w:val="13AD19FF"/>
    <w:rsid w:val="13B2646C"/>
    <w:rsid w:val="13E002CF"/>
    <w:rsid w:val="13EC3990"/>
    <w:rsid w:val="13EC7D6E"/>
    <w:rsid w:val="13ED1201"/>
    <w:rsid w:val="13F57DB5"/>
    <w:rsid w:val="14093687"/>
    <w:rsid w:val="140C2F01"/>
    <w:rsid w:val="141F7D2C"/>
    <w:rsid w:val="142E235C"/>
    <w:rsid w:val="14301989"/>
    <w:rsid w:val="1430710C"/>
    <w:rsid w:val="143A1CDA"/>
    <w:rsid w:val="143D35F5"/>
    <w:rsid w:val="143E506B"/>
    <w:rsid w:val="143E59A0"/>
    <w:rsid w:val="14401296"/>
    <w:rsid w:val="14477A09"/>
    <w:rsid w:val="14490455"/>
    <w:rsid w:val="145650D2"/>
    <w:rsid w:val="14596FC0"/>
    <w:rsid w:val="14637967"/>
    <w:rsid w:val="146907B5"/>
    <w:rsid w:val="14770D51"/>
    <w:rsid w:val="147F6776"/>
    <w:rsid w:val="14860A53"/>
    <w:rsid w:val="148835A7"/>
    <w:rsid w:val="148A6CA5"/>
    <w:rsid w:val="149139C7"/>
    <w:rsid w:val="149B0C00"/>
    <w:rsid w:val="14A3562D"/>
    <w:rsid w:val="14A41DBA"/>
    <w:rsid w:val="14AA5E3E"/>
    <w:rsid w:val="14AD0296"/>
    <w:rsid w:val="14C3799A"/>
    <w:rsid w:val="14C62F49"/>
    <w:rsid w:val="14CD01F5"/>
    <w:rsid w:val="14D62B6F"/>
    <w:rsid w:val="14D9024F"/>
    <w:rsid w:val="14D923E7"/>
    <w:rsid w:val="14DE3F71"/>
    <w:rsid w:val="14E74CB9"/>
    <w:rsid w:val="14F5605D"/>
    <w:rsid w:val="14FB6364"/>
    <w:rsid w:val="15064E98"/>
    <w:rsid w:val="150D0269"/>
    <w:rsid w:val="15150FA5"/>
    <w:rsid w:val="15160A1D"/>
    <w:rsid w:val="15196CFD"/>
    <w:rsid w:val="151C5BAB"/>
    <w:rsid w:val="151D5B14"/>
    <w:rsid w:val="15201A5F"/>
    <w:rsid w:val="152029FB"/>
    <w:rsid w:val="15232747"/>
    <w:rsid w:val="15287304"/>
    <w:rsid w:val="152D48C1"/>
    <w:rsid w:val="152F2611"/>
    <w:rsid w:val="153B66CF"/>
    <w:rsid w:val="15431D8D"/>
    <w:rsid w:val="1546567C"/>
    <w:rsid w:val="155652B0"/>
    <w:rsid w:val="15576F52"/>
    <w:rsid w:val="15681604"/>
    <w:rsid w:val="156D1C73"/>
    <w:rsid w:val="15740D37"/>
    <w:rsid w:val="15745511"/>
    <w:rsid w:val="15826B3A"/>
    <w:rsid w:val="158A13BB"/>
    <w:rsid w:val="158F37A8"/>
    <w:rsid w:val="15906AF6"/>
    <w:rsid w:val="15964DFC"/>
    <w:rsid w:val="15A7264B"/>
    <w:rsid w:val="15D01F63"/>
    <w:rsid w:val="15D37295"/>
    <w:rsid w:val="15D37D0B"/>
    <w:rsid w:val="15D402E5"/>
    <w:rsid w:val="15D95C4F"/>
    <w:rsid w:val="15DA7F86"/>
    <w:rsid w:val="15E04532"/>
    <w:rsid w:val="15E76E5D"/>
    <w:rsid w:val="15F27B03"/>
    <w:rsid w:val="15F318D6"/>
    <w:rsid w:val="15F95F0A"/>
    <w:rsid w:val="15FA62DC"/>
    <w:rsid w:val="160A721C"/>
    <w:rsid w:val="160D6142"/>
    <w:rsid w:val="160E71FC"/>
    <w:rsid w:val="16236871"/>
    <w:rsid w:val="1625108C"/>
    <w:rsid w:val="162A17C5"/>
    <w:rsid w:val="162B4177"/>
    <w:rsid w:val="162B605B"/>
    <w:rsid w:val="162F0427"/>
    <w:rsid w:val="162F75C5"/>
    <w:rsid w:val="163327C6"/>
    <w:rsid w:val="163544AA"/>
    <w:rsid w:val="164407A5"/>
    <w:rsid w:val="164671E1"/>
    <w:rsid w:val="1648578B"/>
    <w:rsid w:val="16516598"/>
    <w:rsid w:val="165E7E1D"/>
    <w:rsid w:val="166C1041"/>
    <w:rsid w:val="167A2D38"/>
    <w:rsid w:val="167A5D33"/>
    <w:rsid w:val="168525D9"/>
    <w:rsid w:val="168A683E"/>
    <w:rsid w:val="168C6CAE"/>
    <w:rsid w:val="16916D2C"/>
    <w:rsid w:val="16925C09"/>
    <w:rsid w:val="16984284"/>
    <w:rsid w:val="169A1714"/>
    <w:rsid w:val="16A33F40"/>
    <w:rsid w:val="16A94598"/>
    <w:rsid w:val="16AC2AF6"/>
    <w:rsid w:val="16BC2775"/>
    <w:rsid w:val="16C31C5A"/>
    <w:rsid w:val="16D257E9"/>
    <w:rsid w:val="16D74CFD"/>
    <w:rsid w:val="16D823C9"/>
    <w:rsid w:val="16DF7C97"/>
    <w:rsid w:val="16E77C05"/>
    <w:rsid w:val="16EA4094"/>
    <w:rsid w:val="16EC0821"/>
    <w:rsid w:val="16F52ADE"/>
    <w:rsid w:val="170357F4"/>
    <w:rsid w:val="17295DEA"/>
    <w:rsid w:val="172E71B2"/>
    <w:rsid w:val="173819D6"/>
    <w:rsid w:val="17386F93"/>
    <w:rsid w:val="17426993"/>
    <w:rsid w:val="1744652E"/>
    <w:rsid w:val="17470E2A"/>
    <w:rsid w:val="174814D9"/>
    <w:rsid w:val="174A1B45"/>
    <w:rsid w:val="17587CBA"/>
    <w:rsid w:val="175B407B"/>
    <w:rsid w:val="175C0D0D"/>
    <w:rsid w:val="176574CF"/>
    <w:rsid w:val="17681ECD"/>
    <w:rsid w:val="1773500D"/>
    <w:rsid w:val="177B0064"/>
    <w:rsid w:val="177F5D26"/>
    <w:rsid w:val="1781514D"/>
    <w:rsid w:val="17876B8F"/>
    <w:rsid w:val="178C5E7F"/>
    <w:rsid w:val="17A16C65"/>
    <w:rsid w:val="17A407F1"/>
    <w:rsid w:val="17AF57D7"/>
    <w:rsid w:val="17B47A4F"/>
    <w:rsid w:val="17C24627"/>
    <w:rsid w:val="17C41A3E"/>
    <w:rsid w:val="17D550C0"/>
    <w:rsid w:val="17E7335C"/>
    <w:rsid w:val="17F772A8"/>
    <w:rsid w:val="17FC2FE2"/>
    <w:rsid w:val="18012922"/>
    <w:rsid w:val="180C34DD"/>
    <w:rsid w:val="180C38A7"/>
    <w:rsid w:val="180D112B"/>
    <w:rsid w:val="180D4642"/>
    <w:rsid w:val="181056C2"/>
    <w:rsid w:val="18161C63"/>
    <w:rsid w:val="181927E5"/>
    <w:rsid w:val="182356FA"/>
    <w:rsid w:val="184267ED"/>
    <w:rsid w:val="184F0931"/>
    <w:rsid w:val="18530363"/>
    <w:rsid w:val="1858181C"/>
    <w:rsid w:val="185E1B9D"/>
    <w:rsid w:val="18632B50"/>
    <w:rsid w:val="186574DD"/>
    <w:rsid w:val="186A30DC"/>
    <w:rsid w:val="18796AEC"/>
    <w:rsid w:val="188305C5"/>
    <w:rsid w:val="18863D8E"/>
    <w:rsid w:val="188A6AF7"/>
    <w:rsid w:val="18981BBA"/>
    <w:rsid w:val="189F4E49"/>
    <w:rsid w:val="18A80BC2"/>
    <w:rsid w:val="18A81BBD"/>
    <w:rsid w:val="18BC70A1"/>
    <w:rsid w:val="18BD0976"/>
    <w:rsid w:val="18C07580"/>
    <w:rsid w:val="18CA7747"/>
    <w:rsid w:val="18CD139B"/>
    <w:rsid w:val="18D146C0"/>
    <w:rsid w:val="18D51F23"/>
    <w:rsid w:val="18D7543A"/>
    <w:rsid w:val="18DC7DA6"/>
    <w:rsid w:val="18DD00C0"/>
    <w:rsid w:val="18E76317"/>
    <w:rsid w:val="18ED601E"/>
    <w:rsid w:val="18ED6F7F"/>
    <w:rsid w:val="18F146CD"/>
    <w:rsid w:val="18FE46D4"/>
    <w:rsid w:val="190B488E"/>
    <w:rsid w:val="19137581"/>
    <w:rsid w:val="19137D31"/>
    <w:rsid w:val="191410E9"/>
    <w:rsid w:val="192819E8"/>
    <w:rsid w:val="1929366C"/>
    <w:rsid w:val="193D21DC"/>
    <w:rsid w:val="1940126B"/>
    <w:rsid w:val="1949695E"/>
    <w:rsid w:val="19497C85"/>
    <w:rsid w:val="194F48B4"/>
    <w:rsid w:val="19510140"/>
    <w:rsid w:val="195C349D"/>
    <w:rsid w:val="195E2C44"/>
    <w:rsid w:val="19632431"/>
    <w:rsid w:val="196A27D6"/>
    <w:rsid w:val="196A593C"/>
    <w:rsid w:val="198467B8"/>
    <w:rsid w:val="19892A56"/>
    <w:rsid w:val="198F3A8C"/>
    <w:rsid w:val="19923E8E"/>
    <w:rsid w:val="19956758"/>
    <w:rsid w:val="199A190C"/>
    <w:rsid w:val="199A4056"/>
    <w:rsid w:val="19A06DCF"/>
    <w:rsid w:val="19BA1119"/>
    <w:rsid w:val="19C52BD0"/>
    <w:rsid w:val="19C820B9"/>
    <w:rsid w:val="19CF5951"/>
    <w:rsid w:val="19D93ED8"/>
    <w:rsid w:val="19E3160F"/>
    <w:rsid w:val="19F34C4A"/>
    <w:rsid w:val="19F36BE3"/>
    <w:rsid w:val="19F53C55"/>
    <w:rsid w:val="1A0264FC"/>
    <w:rsid w:val="1A18359F"/>
    <w:rsid w:val="1A193D02"/>
    <w:rsid w:val="1A24417D"/>
    <w:rsid w:val="1A296511"/>
    <w:rsid w:val="1A2A44B8"/>
    <w:rsid w:val="1A2C33BC"/>
    <w:rsid w:val="1A33673D"/>
    <w:rsid w:val="1A3A0397"/>
    <w:rsid w:val="1A3B3604"/>
    <w:rsid w:val="1A45497E"/>
    <w:rsid w:val="1A564E5B"/>
    <w:rsid w:val="1A6427E9"/>
    <w:rsid w:val="1A6D5467"/>
    <w:rsid w:val="1A6F3727"/>
    <w:rsid w:val="1A7D255C"/>
    <w:rsid w:val="1A801D84"/>
    <w:rsid w:val="1A956DB2"/>
    <w:rsid w:val="1A9A18ED"/>
    <w:rsid w:val="1AA15664"/>
    <w:rsid w:val="1AA73871"/>
    <w:rsid w:val="1AAE298F"/>
    <w:rsid w:val="1AAF18FF"/>
    <w:rsid w:val="1ABB73FB"/>
    <w:rsid w:val="1ABE5294"/>
    <w:rsid w:val="1AC909F8"/>
    <w:rsid w:val="1AD46CAE"/>
    <w:rsid w:val="1ADE3D9D"/>
    <w:rsid w:val="1ADF5C4F"/>
    <w:rsid w:val="1AF11CBB"/>
    <w:rsid w:val="1AF37B05"/>
    <w:rsid w:val="1AF969C9"/>
    <w:rsid w:val="1AFF08DD"/>
    <w:rsid w:val="1B206288"/>
    <w:rsid w:val="1B2D5C2C"/>
    <w:rsid w:val="1B311B52"/>
    <w:rsid w:val="1B3A4469"/>
    <w:rsid w:val="1B460F0C"/>
    <w:rsid w:val="1B5046CA"/>
    <w:rsid w:val="1B5162F8"/>
    <w:rsid w:val="1B533A2D"/>
    <w:rsid w:val="1B567C7C"/>
    <w:rsid w:val="1B596C02"/>
    <w:rsid w:val="1B5B5F9E"/>
    <w:rsid w:val="1B5E365B"/>
    <w:rsid w:val="1B627ED3"/>
    <w:rsid w:val="1B735046"/>
    <w:rsid w:val="1B7F2B78"/>
    <w:rsid w:val="1B890194"/>
    <w:rsid w:val="1B8A44BC"/>
    <w:rsid w:val="1B9320D6"/>
    <w:rsid w:val="1B97398A"/>
    <w:rsid w:val="1B9A4E66"/>
    <w:rsid w:val="1BAF6CB8"/>
    <w:rsid w:val="1BB57949"/>
    <w:rsid w:val="1BB90445"/>
    <w:rsid w:val="1BC15E38"/>
    <w:rsid w:val="1BCD0961"/>
    <w:rsid w:val="1BD63891"/>
    <w:rsid w:val="1BE25E96"/>
    <w:rsid w:val="1BE46AA9"/>
    <w:rsid w:val="1BE64EA3"/>
    <w:rsid w:val="1BE854D7"/>
    <w:rsid w:val="1BEA4B69"/>
    <w:rsid w:val="1BF32929"/>
    <w:rsid w:val="1C014376"/>
    <w:rsid w:val="1C0C2D22"/>
    <w:rsid w:val="1C0D379C"/>
    <w:rsid w:val="1C162089"/>
    <w:rsid w:val="1C195D9A"/>
    <w:rsid w:val="1C203128"/>
    <w:rsid w:val="1C236CB7"/>
    <w:rsid w:val="1C256851"/>
    <w:rsid w:val="1C2718CE"/>
    <w:rsid w:val="1C273111"/>
    <w:rsid w:val="1C297B60"/>
    <w:rsid w:val="1C2A7AC3"/>
    <w:rsid w:val="1C2C7030"/>
    <w:rsid w:val="1C2E4CB7"/>
    <w:rsid w:val="1C2E6907"/>
    <w:rsid w:val="1C3101C9"/>
    <w:rsid w:val="1C403506"/>
    <w:rsid w:val="1C4F2762"/>
    <w:rsid w:val="1C51390C"/>
    <w:rsid w:val="1C5673D5"/>
    <w:rsid w:val="1C637875"/>
    <w:rsid w:val="1C6427C6"/>
    <w:rsid w:val="1C6A1656"/>
    <w:rsid w:val="1C6D0FFA"/>
    <w:rsid w:val="1C710EB6"/>
    <w:rsid w:val="1C893D61"/>
    <w:rsid w:val="1C921848"/>
    <w:rsid w:val="1C9511E1"/>
    <w:rsid w:val="1C974D37"/>
    <w:rsid w:val="1CA0298B"/>
    <w:rsid w:val="1CAC3F54"/>
    <w:rsid w:val="1CAE18AC"/>
    <w:rsid w:val="1CB024C8"/>
    <w:rsid w:val="1CB85937"/>
    <w:rsid w:val="1CC418F8"/>
    <w:rsid w:val="1CC72690"/>
    <w:rsid w:val="1CD67510"/>
    <w:rsid w:val="1CDB5A0A"/>
    <w:rsid w:val="1CDC54EC"/>
    <w:rsid w:val="1CE07E22"/>
    <w:rsid w:val="1CE509A8"/>
    <w:rsid w:val="1CEE6619"/>
    <w:rsid w:val="1CF0083B"/>
    <w:rsid w:val="1CF15459"/>
    <w:rsid w:val="1CF361BA"/>
    <w:rsid w:val="1CF442F0"/>
    <w:rsid w:val="1CFF7FB9"/>
    <w:rsid w:val="1D013D0E"/>
    <w:rsid w:val="1D061607"/>
    <w:rsid w:val="1D06360E"/>
    <w:rsid w:val="1D0663BD"/>
    <w:rsid w:val="1D19461D"/>
    <w:rsid w:val="1D262C66"/>
    <w:rsid w:val="1D2D6B7C"/>
    <w:rsid w:val="1D32275B"/>
    <w:rsid w:val="1D38138A"/>
    <w:rsid w:val="1D384397"/>
    <w:rsid w:val="1D3D686C"/>
    <w:rsid w:val="1D3E5FD5"/>
    <w:rsid w:val="1D4079C1"/>
    <w:rsid w:val="1D4351F8"/>
    <w:rsid w:val="1D46219D"/>
    <w:rsid w:val="1D4F5B55"/>
    <w:rsid w:val="1D500F14"/>
    <w:rsid w:val="1D6D30DF"/>
    <w:rsid w:val="1D721BB6"/>
    <w:rsid w:val="1D757A33"/>
    <w:rsid w:val="1D7837D7"/>
    <w:rsid w:val="1D7C2923"/>
    <w:rsid w:val="1D986557"/>
    <w:rsid w:val="1DAE58B4"/>
    <w:rsid w:val="1DB516D0"/>
    <w:rsid w:val="1DB84E82"/>
    <w:rsid w:val="1DC47F77"/>
    <w:rsid w:val="1DD265AA"/>
    <w:rsid w:val="1DE73F90"/>
    <w:rsid w:val="1DE951D8"/>
    <w:rsid w:val="1DEC7017"/>
    <w:rsid w:val="1DF77E75"/>
    <w:rsid w:val="1DFB0D42"/>
    <w:rsid w:val="1DFB3142"/>
    <w:rsid w:val="1DFC1BF7"/>
    <w:rsid w:val="1DFD664C"/>
    <w:rsid w:val="1E025893"/>
    <w:rsid w:val="1E0B290E"/>
    <w:rsid w:val="1E10491F"/>
    <w:rsid w:val="1E114041"/>
    <w:rsid w:val="1E155D0F"/>
    <w:rsid w:val="1E167CCC"/>
    <w:rsid w:val="1E300A1D"/>
    <w:rsid w:val="1E3213BB"/>
    <w:rsid w:val="1E36155E"/>
    <w:rsid w:val="1E3D6C1B"/>
    <w:rsid w:val="1E4C40E3"/>
    <w:rsid w:val="1E4C4D60"/>
    <w:rsid w:val="1E5140C4"/>
    <w:rsid w:val="1E5172A5"/>
    <w:rsid w:val="1E542865"/>
    <w:rsid w:val="1E5E0F82"/>
    <w:rsid w:val="1E646659"/>
    <w:rsid w:val="1E802ACB"/>
    <w:rsid w:val="1E8D0126"/>
    <w:rsid w:val="1E901309"/>
    <w:rsid w:val="1E921824"/>
    <w:rsid w:val="1E9D2345"/>
    <w:rsid w:val="1EA7675D"/>
    <w:rsid w:val="1EA93D24"/>
    <w:rsid w:val="1EB4253E"/>
    <w:rsid w:val="1EB7664F"/>
    <w:rsid w:val="1EB90C16"/>
    <w:rsid w:val="1EBD3CDB"/>
    <w:rsid w:val="1EBE15DB"/>
    <w:rsid w:val="1EC17B2A"/>
    <w:rsid w:val="1EC55970"/>
    <w:rsid w:val="1EC575D5"/>
    <w:rsid w:val="1ECF443F"/>
    <w:rsid w:val="1ED3258E"/>
    <w:rsid w:val="1ED669D8"/>
    <w:rsid w:val="1EED5395"/>
    <w:rsid w:val="1EFB5948"/>
    <w:rsid w:val="1F02799A"/>
    <w:rsid w:val="1F06362D"/>
    <w:rsid w:val="1F081EE1"/>
    <w:rsid w:val="1F0A79C7"/>
    <w:rsid w:val="1F0C432E"/>
    <w:rsid w:val="1F166D3B"/>
    <w:rsid w:val="1F17390A"/>
    <w:rsid w:val="1F253B49"/>
    <w:rsid w:val="1F2B46EF"/>
    <w:rsid w:val="1F2B5AC4"/>
    <w:rsid w:val="1F2D4721"/>
    <w:rsid w:val="1F331BBD"/>
    <w:rsid w:val="1F3350F6"/>
    <w:rsid w:val="1F3A624F"/>
    <w:rsid w:val="1F3B35CE"/>
    <w:rsid w:val="1F40626C"/>
    <w:rsid w:val="1F5300A9"/>
    <w:rsid w:val="1F6045D1"/>
    <w:rsid w:val="1F652432"/>
    <w:rsid w:val="1F704DE3"/>
    <w:rsid w:val="1F7B0D5F"/>
    <w:rsid w:val="1F804E3F"/>
    <w:rsid w:val="1F931497"/>
    <w:rsid w:val="1F9D6196"/>
    <w:rsid w:val="1FA66325"/>
    <w:rsid w:val="1FBB1B89"/>
    <w:rsid w:val="1FBD79DF"/>
    <w:rsid w:val="1FC17B99"/>
    <w:rsid w:val="1FC843F1"/>
    <w:rsid w:val="1FCC7511"/>
    <w:rsid w:val="1FCD749D"/>
    <w:rsid w:val="1FD27570"/>
    <w:rsid w:val="1FEF3A0C"/>
    <w:rsid w:val="1FF20A3F"/>
    <w:rsid w:val="1FFD4DC3"/>
    <w:rsid w:val="20010B5D"/>
    <w:rsid w:val="20066DAA"/>
    <w:rsid w:val="2009725C"/>
    <w:rsid w:val="202C7E35"/>
    <w:rsid w:val="202F7BB7"/>
    <w:rsid w:val="20303BB1"/>
    <w:rsid w:val="203409B0"/>
    <w:rsid w:val="203A220A"/>
    <w:rsid w:val="203F46BA"/>
    <w:rsid w:val="204E67B1"/>
    <w:rsid w:val="205C4EF3"/>
    <w:rsid w:val="20600E2B"/>
    <w:rsid w:val="206703B5"/>
    <w:rsid w:val="206B2BAA"/>
    <w:rsid w:val="20757958"/>
    <w:rsid w:val="20764D3D"/>
    <w:rsid w:val="207670D1"/>
    <w:rsid w:val="20777BEF"/>
    <w:rsid w:val="207A536F"/>
    <w:rsid w:val="207C5B71"/>
    <w:rsid w:val="208103E7"/>
    <w:rsid w:val="20825ED2"/>
    <w:rsid w:val="20873D7F"/>
    <w:rsid w:val="20874742"/>
    <w:rsid w:val="2096068F"/>
    <w:rsid w:val="209D6895"/>
    <w:rsid w:val="20BB790A"/>
    <w:rsid w:val="20BC17F4"/>
    <w:rsid w:val="20BE6F2A"/>
    <w:rsid w:val="20C24B17"/>
    <w:rsid w:val="20C41AB7"/>
    <w:rsid w:val="20D37EF6"/>
    <w:rsid w:val="20E46572"/>
    <w:rsid w:val="20E6235C"/>
    <w:rsid w:val="20E92C33"/>
    <w:rsid w:val="20EA7AAE"/>
    <w:rsid w:val="20F238E2"/>
    <w:rsid w:val="20FB6FAA"/>
    <w:rsid w:val="21023AA4"/>
    <w:rsid w:val="2104402A"/>
    <w:rsid w:val="210A1D7A"/>
    <w:rsid w:val="210B5F7F"/>
    <w:rsid w:val="21162486"/>
    <w:rsid w:val="212D17A9"/>
    <w:rsid w:val="212D217C"/>
    <w:rsid w:val="213138D5"/>
    <w:rsid w:val="21340232"/>
    <w:rsid w:val="21385FA9"/>
    <w:rsid w:val="213D7CD0"/>
    <w:rsid w:val="2141109D"/>
    <w:rsid w:val="21413D65"/>
    <w:rsid w:val="21517529"/>
    <w:rsid w:val="215225CD"/>
    <w:rsid w:val="21592661"/>
    <w:rsid w:val="215A5EA1"/>
    <w:rsid w:val="215B4C3B"/>
    <w:rsid w:val="21602E08"/>
    <w:rsid w:val="216B6313"/>
    <w:rsid w:val="216F2DB8"/>
    <w:rsid w:val="21763545"/>
    <w:rsid w:val="217F43E7"/>
    <w:rsid w:val="21816963"/>
    <w:rsid w:val="21834242"/>
    <w:rsid w:val="218B11D6"/>
    <w:rsid w:val="219215B7"/>
    <w:rsid w:val="21A20955"/>
    <w:rsid w:val="21A76860"/>
    <w:rsid w:val="21C0091B"/>
    <w:rsid w:val="21C04A59"/>
    <w:rsid w:val="21C55508"/>
    <w:rsid w:val="21CA6377"/>
    <w:rsid w:val="21CD31BF"/>
    <w:rsid w:val="21D4008D"/>
    <w:rsid w:val="21DB19DC"/>
    <w:rsid w:val="21DF4689"/>
    <w:rsid w:val="21E668CC"/>
    <w:rsid w:val="21F40A92"/>
    <w:rsid w:val="21F97CAA"/>
    <w:rsid w:val="21FB7B71"/>
    <w:rsid w:val="220C4702"/>
    <w:rsid w:val="22112A2F"/>
    <w:rsid w:val="221B106E"/>
    <w:rsid w:val="222B7072"/>
    <w:rsid w:val="22342409"/>
    <w:rsid w:val="223D17DA"/>
    <w:rsid w:val="2244362E"/>
    <w:rsid w:val="22475506"/>
    <w:rsid w:val="22483D90"/>
    <w:rsid w:val="224A4F20"/>
    <w:rsid w:val="224B15E3"/>
    <w:rsid w:val="22564A42"/>
    <w:rsid w:val="225733A0"/>
    <w:rsid w:val="225E0643"/>
    <w:rsid w:val="225E360A"/>
    <w:rsid w:val="225E719E"/>
    <w:rsid w:val="2261668B"/>
    <w:rsid w:val="226464F7"/>
    <w:rsid w:val="22680F93"/>
    <w:rsid w:val="22785B91"/>
    <w:rsid w:val="227A00D5"/>
    <w:rsid w:val="22850919"/>
    <w:rsid w:val="22875480"/>
    <w:rsid w:val="228F4F2F"/>
    <w:rsid w:val="229C73CD"/>
    <w:rsid w:val="22A72223"/>
    <w:rsid w:val="22B07A56"/>
    <w:rsid w:val="22B25EC7"/>
    <w:rsid w:val="22BD23EE"/>
    <w:rsid w:val="22C124B3"/>
    <w:rsid w:val="22C17B1E"/>
    <w:rsid w:val="22C65780"/>
    <w:rsid w:val="22CD35F5"/>
    <w:rsid w:val="22CE14EE"/>
    <w:rsid w:val="22CE3D2A"/>
    <w:rsid w:val="22D55515"/>
    <w:rsid w:val="22D66BDE"/>
    <w:rsid w:val="22DF1727"/>
    <w:rsid w:val="22E80C03"/>
    <w:rsid w:val="22EB2621"/>
    <w:rsid w:val="22F532DD"/>
    <w:rsid w:val="22FB360F"/>
    <w:rsid w:val="22FB46DC"/>
    <w:rsid w:val="23046851"/>
    <w:rsid w:val="23074D09"/>
    <w:rsid w:val="231919F9"/>
    <w:rsid w:val="23196DE6"/>
    <w:rsid w:val="231C4DD1"/>
    <w:rsid w:val="231D115E"/>
    <w:rsid w:val="231D64A5"/>
    <w:rsid w:val="231E77F9"/>
    <w:rsid w:val="23236F84"/>
    <w:rsid w:val="23275278"/>
    <w:rsid w:val="23307C69"/>
    <w:rsid w:val="23476CD6"/>
    <w:rsid w:val="23586416"/>
    <w:rsid w:val="235A7FB4"/>
    <w:rsid w:val="235B4FED"/>
    <w:rsid w:val="23663928"/>
    <w:rsid w:val="236C19D1"/>
    <w:rsid w:val="23702EEF"/>
    <w:rsid w:val="23717E05"/>
    <w:rsid w:val="237A5E9C"/>
    <w:rsid w:val="237F3268"/>
    <w:rsid w:val="238918C1"/>
    <w:rsid w:val="238B6873"/>
    <w:rsid w:val="239D62EC"/>
    <w:rsid w:val="23A26929"/>
    <w:rsid w:val="23A721D0"/>
    <w:rsid w:val="23A72931"/>
    <w:rsid w:val="23A87566"/>
    <w:rsid w:val="23B160F6"/>
    <w:rsid w:val="23B87862"/>
    <w:rsid w:val="23BB4755"/>
    <w:rsid w:val="23BB4D7E"/>
    <w:rsid w:val="23C05562"/>
    <w:rsid w:val="23C07392"/>
    <w:rsid w:val="23C563DF"/>
    <w:rsid w:val="23C72EE2"/>
    <w:rsid w:val="23CD5434"/>
    <w:rsid w:val="23DA5050"/>
    <w:rsid w:val="23DF720E"/>
    <w:rsid w:val="23E47DA3"/>
    <w:rsid w:val="23E94ECE"/>
    <w:rsid w:val="23E96DFA"/>
    <w:rsid w:val="23FA3913"/>
    <w:rsid w:val="23FE14E6"/>
    <w:rsid w:val="240D7277"/>
    <w:rsid w:val="24125404"/>
    <w:rsid w:val="24150177"/>
    <w:rsid w:val="24177AC0"/>
    <w:rsid w:val="2423416A"/>
    <w:rsid w:val="2425454A"/>
    <w:rsid w:val="24294735"/>
    <w:rsid w:val="24403B97"/>
    <w:rsid w:val="24443798"/>
    <w:rsid w:val="24466B68"/>
    <w:rsid w:val="244842F7"/>
    <w:rsid w:val="245B3C52"/>
    <w:rsid w:val="246E219E"/>
    <w:rsid w:val="246F2B5D"/>
    <w:rsid w:val="247C43C4"/>
    <w:rsid w:val="247D79C5"/>
    <w:rsid w:val="24805696"/>
    <w:rsid w:val="24842830"/>
    <w:rsid w:val="248455F8"/>
    <w:rsid w:val="24876AF6"/>
    <w:rsid w:val="248C240C"/>
    <w:rsid w:val="248D5E8D"/>
    <w:rsid w:val="248E6DCF"/>
    <w:rsid w:val="249B40D4"/>
    <w:rsid w:val="24A877D3"/>
    <w:rsid w:val="24AC1521"/>
    <w:rsid w:val="24B25D0B"/>
    <w:rsid w:val="24B74D9F"/>
    <w:rsid w:val="24B77221"/>
    <w:rsid w:val="24B7791A"/>
    <w:rsid w:val="24BC1AD3"/>
    <w:rsid w:val="24BD221E"/>
    <w:rsid w:val="24CB57DC"/>
    <w:rsid w:val="24D337C2"/>
    <w:rsid w:val="24D46546"/>
    <w:rsid w:val="24DA33C1"/>
    <w:rsid w:val="24EB53A9"/>
    <w:rsid w:val="25031E60"/>
    <w:rsid w:val="250A649A"/>
    <w:rsid w:val="250D4571"/>
    <w:rsid w:val="25137062"/>
    <w:rsid w:val="251D6398"/>
    <w:rsid w:val="252A010A"/>
    <w:rsid w:val="253D4B01"/>
    <w:rsid w:val="253E319B"/>
    <w:rsid w:val="254B4916"/>
    <w:rsid w:val="255318E5"/>
    <w:rsid w:val="25615B62"/>
    <w:rsid w:val="25695EA6"/>
    <w:rsid w:val="256E06DA"/>
    <w:rsid w:val="25726A7A"/>
    <w:rsid w:val="25766714"/>
    <w:rsid w:val="25803A55"/>
    <w:rsid w:val="25853388"/>
    <w:rsid w:val="258C47B6"/>
    <w:rsid w:val="258D5776"/>
    <w:rsid w:val="25941792"/>
    <w:rsid w:val="259552B5"/>
    <w:rsid w:val="259D6B2E"/>
    <w:rsid w:val="25A03FE9"/>
    <w:rsid w:val="25B101DF"/>
    <w:rsid w:val="25B6796F"/>
    <w:rsid w:val="25C14B7B"/>
    <w:rsid w:val="25C731F5"/>
    <w:rsid w:val="25CD31B8"/>
    <w:rsid w:val="25D27E41"/>
    <w:rsid w:val="25D54090"/>
    <w:rsid w:val="25E303D2"/>
    <w:rsid w:val="25E323AA"/>
    <w:rsid w:val="25E87E7D"/>
    <w:rsid w:val="25EB2835"/>
    <w:rsid w:val="25F86ED4"/>
    <w:rsid w:val="25FF6BE9"/>
    <w:rsid w:val="26004093"/>
    <w:rsid w:val="260A6B27"/>
    <w:rsid w:val="260E65AA"/>
    <w:rsid w:val="261C5CB2"/>
    <w:rsid w:val="261F4265"/>
    <w:rsid w:val="26282203"/>
    <w:rsid w:val="262D04A9"/>
    <w:rsid w:val="262D2F8B"/>
    <w:rsid w:val="263B4D1D"/>
    <w:rsid w:val="26422F75"/>
    <w:rsid w:val="264253BB"/>
    <w:rsid w:val="264724AA"/>
    <w:rsid w:val="265B41DF"/>
    <w:rsid w:val="265F0D36"/>
    <w:rsid w:val="265F5C1D"/>
    <w:rsid w:val="26602908"/>
    <w:rsid w:val="26623466"/>
    <w:rsid w:val="266D511A"/>
    <w:rsid w:val="266E7011"/>
    <w:rsid w:val="26830607"/>
    <w:rsid w:val="26872BEA"/>
    <w:rsid w:val="2693447F"/>
    <w:rsid w:val="26996FF0"/>
    <w:rsid w:val="269B764B"/>
    <w:rsid w:val="26A2099F"/>
    <w:rsid w:val="26A60CC6"/>
    <w:rsid w:val="26A80F0D"/>
    <w:rsid w:val="26A91043"/>
    <w:rsid w:val="26AA0200"/>
    <w:rsid w:val="26AA619D"/>
    <w:rsid w:val="26AB6C78"/>
    <w:rsid w:val="26AE0B40"/>
    <w:rsid w:val="26B20B99"/>
    <w:rsid w:val="26BA6ADF"/>
    <w:rsid w:val="26BC62F8"/>
    <w:rsid w:val="26BF128E"/>
    <w:rsid w:val="26C07646"/>
    <w:rsid w:val="26C2746D"/>
    <w:rsid w:val="26C40853"/>
    <w:rsid w:val="26DC2958"/>
    <w:rsid w:val="26E67FC9"/>
    <w:rsid w:val="26E97D44"/>
    <w:rsid w:val="26F03BF3"/>
    <w:rsid w:val="26F262C2"/>
    <w:rsid w:val="26FC321F"/>
    <w:rsid w:val="26FE71FE"/>
    <w:rsid w:val="26FF7CAF"/>
    <w:rsid w:val="27006C6A"/>
    <w:rsid w:val="27067B54"/>
    <w:rsid w:val="27074CED"/>
    <w:rsid w:val="27084A3C"/>
    <w:rsid w:val="27166B13"/>
    <w:rsid w:val="271D0EEE"/>
    <w:rsid w:val="272D6337"/>
    <w:rsid w:val="27316EEF"/>
    <w:rsid w:val="27322275"/>
    <w:rsid w:val="273320C0"/>
    <w:rsid w:val="27374E93"/>
    <w:rsid w:val="27472296"/>
    <w:rsid w:val="2747556B"/>
    <w:rsid w:val="27510602"/>
    <w:rsid w:val="275D45F4"/>
    <w:rsid w:val="277A355D"/>
    <w:rsid w:val="27835CD4"/>
    <w:rsid w:val="27A5021C"/>
    <w:rsid w:val="27B071AA"/>
    <w:rsid w:val="27BE03E3"/>
    <w:rsid w:val="27C31C76"/>
    <w:rsid w:val="27C413C2"/>
    <w:rsid w:val="27D520B2"/>
    <w:rsid w:val="27DE13AB"/>
    <w:rsid w:val="27E40B2A"/>
    <w:rsid w:val="27E66FE3"/>
    <w:rsid w:val="27F31108"/>
    <w:rsid w:val="280060F0"/>
    <w:rsid w:val="281B6912"/>
    <w:rsid w:val="281D2AEB"/>
    <w:rsid w:val="28223EBF"/>
    <w:rsid w:val="28290D39"/>
    <w:rsid w:val="282C6DCC"/>
    <w:rsid w:val="28302FDB"/>
    <w:rsid w:val="28310D49"/>
    <w:rsid w:val="28310F98"/>
    <w:rsid w:val="283114E6"/>
    <w:rsid w:val="283759B9"/>
    <w:rsid w:val="283D4BCC"/>
    <w:rsid w:val="28406E6F"/>
    <w:rsid w:val="28453528"/>
    <w:rsid w:val="2847092D"/>
    <w:rsid w:val="284838D8"/>
    <w:rsid w:val="285F1B21"/>
    <w:rsid w:val="28837BE2"/>
    <w:rsid w:val="28921D46"/>
    <w:rsid w:val="289700D8"/>
    <w:rsid w:val="289A2C4F"/>
    <w:rsid w:val="289E56CD"/>
    <w:rsid w:val="289F3DD2"/>
    <w:rsid w:val="28AC769A"/>
    <w:rsid w:val="28B00214"/>
    <w:rsid w:val="28C5646A"/>
    <w:rsid w:val="28D85B00"/>
    <w:rsid w:val="28DA754D"/>
    <w:rsid w:val="28DC78E5"/>
    <w:rsid w:val="28E03712"/>
    <w:rsid w:val="28E05A61"/>
    <w:rsid w:val="28FF49E4"/>
    <w:rsid w:val="2901393B"/>
    <w:rsid w:val="29082F08"/>
    <w:rsid w:val="290862C6"/>
    <w:rsid w:val="290D33A4"/>
    <w:rsid w:val="290E788A"/>
    <w:rsid w:val="29126415"/>
    <w:rsid w:val="29150BED"/>
    <w:rsid w:val="2921037A"/>
    <w:rsid w:val="29282DF2"/>
    <w:rsid w:val="29312BA6"/>
    <w:rsid w:val="29393270"/>
    <w:rsid w:val="293B253E"/>
    <w:rsid w:val="29435000"/>
    <w:rsid w:val="29514896"/>
    <w:rsid w:val="29615DBF"/>
    <w:rsid w:val="296206A4"/>
    <w:rsid w:val="29756C10"/>
    <w:rsid w:val="297646EB"/>
    <w:rsid w:val="297E2FE1"/>
    <w:rsid w:val="297E5826"/>
    <w:rsid w:val="298E7B9C"/>
    <w:rsid w:val="29902D08"/>
    <w:rsid w:val="299218B9"/>
    <w:rsid w:val="299D1914"/>
    <w:rsid w:val="299E7994"/>
    <w:rsid w:val="299F1843"/>
    <w:rsid w:val="29A53BD1"/>
    <w:rsid w:val="29A94F69"/>
    <w:rsid w:val="29AA4586"/>
    <w:rsid w:val="29BB7F91"/>
    <w:rsid w:val="29BD3D10"/>
    <w:rsid w:val="29C47DB4"/>
    <w:rsid w:val="29DF2607"/>
    <w:rsid w:val="29E316FB"/>
    <w:rsid w:val="29E50EA6"/>
    <w:rsid w:val="29EF4BA1"/>
    <w:rsid w:val="29F376A5"/>
    <w:rsid w:val="29F4463D"/>
    <w:rsid w:val="29F74A08"/>
    <w:rsid w:val="29F960CF"/>
    <w:rsid w:val="2A062019"/>
    <w:rsid w:val="2A092880"/>
    <w:rsid w:val="2A0E73D0"/>
    <w:rsid w:val="2A0F3901"/>
    <w:rsid w:val="2A0F56B3"/>
    <w:rsid w:val="2A1010E2"/>
    <w:rsid w:val="2A173C44"/>
    <w:rsid w:val="2A177123"/>
    <w:rsid w:val="2A1F2B81"/>
    <w:rsid w:val="2A23519C"/>
    <w:rsid w:val="2A2356CF"/>
    <w:rsid w:val="2A245E79"/>
    <w:rsid w:val="2A267D19"/>
    <w:rsid w:val="2A2D5D75"/>
    <w:rsid w:val="2A2E7620"/>
    <w:rsid w:val="2A2F4F40"/>
    <w:rsid w:val="2A362641"/>
    <w:rsid w:val="2A3661A3"/>
    <w:rsid w:val="2A390E43"/>
    <w:rsid w:val="2A417758"/>
    <w:rsid w:val="2A44075C"/>
    <w:rsid w:val="2A4C1921"/>
    <w:rsid w:val="2A5358C6"/>
    <w:rsid w:val="2A564034"/>
    <w:rsid w:val="2A6E64DD"/>
    <w:rsid w:val="2A7253F2"/>
    <w:rsid w:val="2A7358BB"/>
    <w:rsid w:val="2A76550F"/>
    <w:rsid w:val="2A782254"/>
    <w:rsid w:val="2A7852E6"/>
    <w:rsid w:val="2A836C05"/>
    <w:rsid w:val="2A8716C7"/>
    <w:rsid w:val="2AA35FEB"/>
    <w:rsid w:val="2AA93A79"/>
    <w:rsid w:val="2AC75D9B"/>
    <w:rsid w:val="2AD2659E"/>
    <w:rsid w:val="2AD70606"/>
    <w:rsid w:val="2AD80852"/>
    <w:rsid w:val="2ADA304D"/>
    <w:rsid w:val="2ADD65BF"/>
    <w:rsid w:val="2AE47E69"/>
    <w:rsid w:val="2AE9046A"/>
    <w:rsid w:val="2AE9799A"/>
    <w:rsid w:val="2AFD7A37"/>
    <w:rsid w:val="2B093BF7"/>
    <w:rsid w:val="2B0C03B7"/>
    <w:rsid w:val="2B123C94"/>
    <w:rsid w:val="2B1833F8"/>
    <w:rsid w:val="2B1914F8"/>
    <w:rsid w:val="2B1A0739"/>
    <w:rsid w:val="2B252371"/>
    <w:rsid w:val="2B253D4C"/>
    <w:rsid w:val="2B26621A"/>
    <w:rsid w:val="2B2F2B17"/>
    <w:rsid w:val="2B364F55"/>
    <w:rsid w:val="2B543D10"/>
    <w:rsid w:val="2B613F32"/>
    <w:rsid w:val="2B647055"/>
    <w:rsid w:val="2B68616D"/>
    <w:rsid w:val="2B6B2FB5"/>
    <w:rsid w:val="2B6D1FB5"/>
    <w:rsid w:val="2B746DF4"/>
    <w:rsid w:val="2B792584"/>
    <w:rsid w:val="2B7F5C8C"/>
    <w:rsid w:val="2B893E69"/>
    <w:rsid w:val="2B8C7782"/>
    <w:rsid w:val="2B976463"/>
    <w:rsid w:val="2B995640"/>
    <w:rsid w:val="2BA0143B"/>
    <w:rsid w:val="2BBF2BA1"/>
    <w:rsid w:val="2BC0462E"/>
    <w:rsid w:val="2BC85B99"/>
    <w:rsid w:val="2BCB06E1"/>
    <w:rsid w:val="2BCC6FF8"/>
    <w:rsid w:val="2BD04BD9"/>
    <w:rsid w:val="2BD414C5"/>
    <w:rsid w:val="2BD438A4"/>
    <w:rsid w:val="2BDD7BA0"/>
    <w:rsid w:val="2BE3051F"/>
    <w:rsid w:val="2BE637BB"/>
    <w:rsid w:val="2BEC092C"/>
    <w:rsid w:val="2BEE627B"/>
    <w:rsid w:val="2BF05A7D"/>
    <w:rsid w:val="2BF94E9A"/>
    <w:rsid w:val="2BF95649"/>
    <w:rsid w:val="2C00169B"/>
    <w:rsid w:val="2C030729"/>
    <w:rsid w:val="2C084C21"/>
    <w:rsid w:val="2C207BAE"/>
    <w:rsid w:val="2C3018DC"/>
    <w:rsid w:val="2C3B57B1"/>
    <w:rsid w:val="2C3D209C"/>
    <w:rsid w:val="2C450206"/>
    <w:rsid w:val="2C473DC1"/>
    <w:rsid w:val="2C4B682D"/>
    <w:rsid w:val="2C4D2ABD"/>
    <w:rsid w:val="2C4D7F8C"/>
    <w:rsid w:val="2C617774"/>
    <w:rsid w:val="2C646415"/>
    <w:rsid w:val="2C670169"/>
    <w:rsid w:val="2C7556F6"/>
    <w:rsid w:val="2C7645CC"/>
    <w:rsid w:val="2C785114"/>
    <w:rsid w:val="2C843F4F"/>
    <w:rsid w:val="2C883082"/>
    <w:rsid w:val="2C942F33"/>
    <w:rsid w:val="2C972DDE"/>
    <w:rsid w:val="2C9F2202"/>
    <w:rsid w:val="2CA511A7"/>
    <w:rsid w:val="2CB73D88"/>
    <w:rsid w:val="2CC16CFE"/>
    <w:rsid w:val="2CCE285E"/>
    <w:rsid w:val="2CD64FBD"/>
    <w:rsid w:val="2CEC0CBE"/>
    <w:rsid w:val="2CED57D5"/>
    <w:rsid w:val="2CF06162"/>
    <w:rsid w:val="2CFF532C"/>
    <w:rsid w:val="2D002132"/>
    <w:rsid w:val="2D015ADE"/>
    <w:rsid w:val="2D120291"/>
    <w:rsid w:val="2D12366D"/>
    <w:rsid w:val="2D145222"/>
    <w:rsid w:val="2D1524F0"/>
    <w:rsid w:val="2D1B3C9C"/>
    <w:rsid w:val="2D1C1473"/>
    <w:rsid w:val="2D1D4394"/>
    <w:rsid w:val="2D2240F3"/>
    <w:rsid w:val="2D2348C8"/>
    <w:rsid w:val="2D2678D4"/>
    <w:rsid w:val="2D2C233A"/>
    <w:rsid w:val="2D312C38"/>
    <w:rsid w:val="2D313148"/>
    <w:rsid w:val="2D3D782C"/>
    <w:rsid w:val="2D3F3156"/>
    <w:rsid w:val="2D485D46"/>
    <w:rsid w:val="2D591C10"/>
    <w:rsid w:val="2D6422B0"/>
    <w:rsid w:val="2D874B2E"/>
    <w:rsid w:val="2D977AF1"/>
    <w:rsid w:val="2D9A75F6"/>
    <w:rsid w:val="2DA52926"/>
    <w:rsid w:val="2DA8711A"/>
    <w:rsid w:val="2DAB3099"/>
    <w:rsid w:val="2DC23BDA"/>
    <w:rsid w:val="2DC82A08"/>
    <w:rsid w:val="2DD4057F"/>
    <w:rsid w:val="2DDA7F27"/>
    <w:rsid w:val="2DDB0D91"/>
    <w:rsid w:val="2DE05AC3"/>
    <w:rsid w:val="2DE15904"/>
    <w:rsid w:val="2DEA292C"/>
    <w:rsid w:val="2DEF70A7"/>
    <w:rsid w:val="2DF36564"/>
    <w:rsid w:val="2E046919"/>
    <w:rsid w:val="2E053CB4"/>
    <w:rsid w:val="2E0B3089"/>
    <w:rsid w:val="2E1260DB"/>
    <w:rsid w:val="2E135E07"/>
    <w:rsid w:val="2E227F21"/>
    <w:rsid w:val="2E2D0A45"/>
    <w:rsid w:val="2E303841"/>
    <w:rsid w:val="2E3374F1"/>
    <w:rsid w:val="2E4A7B7E"/>
    <w:rsid w:val="2E4B50DB"/>
    <w:rsid w:val="2E573A2F"/>
    <w:rsid w:val="2E5A0BF2"/>
    <w:rsid w:val="2E5D68DB"/>
    <w:rsid w:val="2E6671AD"/>
    <w:rsid w:val="2E6978A4"/>
    <w:rsid w:val="2E6D089B"/>
    <w:rsid w:val="2E7F7D99"/>
    <w:rsid w:val="2E823F32"/>
    <w:rsid w:val="2E8D40D4"/>
    <w:rsid w:val="2E914A01"/>
    <w:rsid w:val="2E933D36"/>
    <w:rsid w:val="2EAA0286"/>
    <w:rsid w:val="2EAF22FA"/>
    <w:rsid w:val="2EBC3B2F"/>
    <w:rsid w:val="2EC97438"/>
    <w:rsid w:val="2ED20BB5"/>
    <w:rsid w:val="2EDF1EE6"/>
    <w:rsid w:val="2EEF3F26"/>
    <w:rsid w:val="2EF11729"/>
    <w:rsid w:val="2EF6211A"/>
    <w:rsid w:val="2EFB212E"/>
    <w:rsid w:val="2F030D8C"/>
    <w:rsid w:val="2F136240"/>
    <w:rsid w:val="2F32695F"/>
    <w:rsid w:val="2F3D50D1"/>
    <w:rsid w:val="2F423B9A"/>
    <w:rsid w:val="2F45611E"/>
    <w:rsid w:val="2F4C23A8"/>
    <w:rsid w:val="2F5A5388"/>
    <w:rsid w:val="2F5E7BE0"/>
    <w:rsid w:val="2F65374C"/>
    <w:rsid w:val="2F6765E9"/>
    <w:rsid w:val="2F6E1E36"/>
    <w:rsid w:val="2F7A0F9F"/>
    <w:rsid w:val="2F887381"/>
    <w:rsid w:val="2F897D18"/>
    <w:rsid w:val="2F8F6D2A"/>
    <w:rsid w:val="2F9008A8"/>
    <w:rsid w:val="2F917921"/>
    <w:rsid w:val="2F967DF6"/>
    <w:rsid w:val="2F99143D"/>
    <w:rsid w:val="2F9A190D"/>
    <w:rsid w:val="2FB44E47"/>
    <w:rsid w:val="2FB72F4C"/>
    <w:rsid w:val="2FB86D8D"/>
    <w:rsid w:val="2FB97512"/>
    <w:rsid w:val="2FBA1A11"/>
    <w:rsid w:val="2FC64895"/>
    <w:rsid w:val="2FD400DC"/>
    <w:rsid w:val="2FD84CC2"/>
    <w:rsid w:val="2FD957A2"/>
    <w:rsid w:val="2FDF7CF1"/>
    <w:rsid w:val="2FE66181"/>
    <w:rsid w:val="2FF0417F"/>
    <w:rsid w:val="2FF37C27"/>
    <w:rsid w:val="2FF529B3"/>
    <w:rsid w:val="2FFE50F6"/>
    <w:rsid w:val="30037071"/>
    <w:rsid w:val="300A7456"/>
    <w:rsid w:val="300F4D30"/>
    <w:rsid w:val="3010402C"/>
    <w:rsid w:val="30232A17"/>
    <w:rsid w:val="30305409"/>
    <w:rsid w:val="30371F06"/>
    <w:rsid w:val="303C5389"/>
    <w:rsid w:val="303C5411"/>
    <w:rsid w:val="3044341A"/>
    <w:rsid w:val="30454056"/>
    <w:rsid w:val="305344E0"/>
    <w:rsid w:val="305B7136"/>
    <w:rsid w:val="30600008"/>
    <w:rsid w:val="306252EE"/>
    <w:rsid w:val="30626D6E"/>
    <w:rsid w:val="306F09CD"/>
    <w:rsid w:val="307F7A24"/>
    <w:rsid w:val="30864870"/>
    <w:rsid w:val="30916AC3"/>
    <w:rsid w:val="30927A5A"/>
    <w:rsid w:val="309652F4"/>
    <w:rsid w:val="30994336"/>
    <w:rsid w:val="309B612B"/>
    <w:rsid w:val="309C202A"/>
    <w:rsid w:val="309D647F"/>
    <w:rsid w:val="309F0CF6"/>
    <w:rsid w:val="30A15893"/>
    <w:rsid w:val="30A200E6"/>
    <w:rsid w:val="30A6436F"/>
    <w:rsid w:val="30AA5000"/>
    <w:rsid w:val="30AB69EF"/>
    <w:rsid w:val="30AC6621"/>
    <w:rsid w:val="30B90DBC"/>
    <w:rsid w:val="30BA73ED"/>
    <w:rsid w:val="30C21FC2"/>
    <w:rsid w:val="30C73615"/>
    <w:rsid w:val="30C81FAD"/>
    <w:rsid w:val="30CA676E"/>
    <w:rsid w:val="30CD25B9"/>
    <w:rsid w:val="30D34FD5"/>
    <w:rsid w:val="30D37219"/>
    <w:rsid w:val="30DA391C"/>
    <w:rsid w:val="30E92998"/>
    <w:rsid w:val="30E9764F"/>
    <w:rsid w:val="30F231D0"/>
    <w:rsid w:val="30F368B0"/>
    <w:rsid w:val="30F76718"/>
    <w:rsid w:val="30FD641E"/>
    <w:rsid w:val="31004707"/>
    <w:rsid w:val="310E221D"/>
    <w:rsid w:val="311B6ACE"/>
    <w:rsid w:val="311C0AF4"/>
    <w:rsid w:val="312347C5"/>
    <w:rsid w:val="31270C8E"/>
    <w:rsid w:val="3129293C"/>
    <w:rsid w:val="31325714"/>
    <w:rsid w:val="313C1F5A"/>
    <w:rsid w:val="3147760B"/>
    <w:rsid w:val="314C3D84"/>
    <w:rsid w:val="3155715B"/>
    <w:rsid w:val="31581959"/>
    <w:rsid w:val="315930A9"/>
    <w:rsid w:val="315930DD"/>
    <w:rsid w:val="315A456A"/>
    <w:rsid w:val="31722813"/>
    <w:rsid w:val="317B27FB"/>
    <w:rsid w:val="317B2EA8"/>
    <w:rsid w:val="317E77B6"/>
    <w:rsid w:val="3180036C"/>
    <w:rsid w:val="31800900"/>
    <w:rsid w:val="318722EE"/>
    <w:rsid w:val="318A730E"/>
    <w:rsid w:val="318D3DEF"/>
    <w:rsid w:val="319A1197"/>
    <w:rsid w:val="319C0323"/>
    <w:rsid w:val="31A63C4E"/>
    <w:rsid w:val="31AF730B"/>
    <w:rsid w:val="31B008A0"/>
    <w:rsid w:val="31B22059"/>
    <w:rsid w:val="31B71479"/>
    <w:rsid w:val="31B95D9C"/>
    <w:rsid w:val="31BA5591"/>
    <w:rsid w:val="31BC33D3"/>
    <w:rsid w:val="31BD3D21"/>
    <w:rsid w:val="31C453BC"/>
    <w:rsid w:val="31CD7985"/>
    <w:rsid w:val="31E615A4"/>
    <w:rsid w:val="31F12F6F"/>
    <w:rsid w:val="31F409B7"/>
    <w:rsid w:val="31F65A29"/>
    <w:rsid w:val="31F85EAF"/>
    <w:rsid w:val="320B2190"/>
    <w:rsid w:val="32113B85"/>
    <w:rsid w:val="32145E2F"/>
    <w:rsid w:val="321B1243"/>
    <w:rsid w:val="32214E7B"/>
    <w:rsid w:val="3224442F"/>
    <w:rsid w:val="322A1948"/>
    <w:rsid w:val="322B7A67"/>
    <w:rsid w:val="322C6FA4"/>
    <w:rsid w:val="322F1F46"/>
    <w:rsid w:val="32305526"/>
    <w:rsid w:val="32315B3A"/>
    <w:rsid w:val="32421138"/>
    <w:rsid w:val="32465521"/>
    <w:rsid w:val="324A0881"/>
    <w:rsid w:val="32541DE9"/>
    <w:rsid w:val="325B7C2F"/>
    <w:rsid w:val="325E7B58"/>
    <w:rsid w:val="32620D9B"/>
    <w:rsid w:val="32621117"/>
    <w:rsid w:val="32660032"/>
    <w:rsid w:val="32694F5B"/>
    <w:rsid w:val="3269530C"/>
    <w:rsid w:val="32696D8D"/>
    <w:rsid w:val="32740DC1"/>
    <w:rsid w:val="32765F1F"/>
    <w:rsid w:val="327E57FC"/>
    <w:rsid w:val="32877E84"/>
    <w:rsid w:val="32895533"/>
    <w:rsid w:val="32984AB3"/>
    <w:rsid w:val="3298553B"/>
    <w:rsid w:val="329A22A3"/>
    <w:rsid w:val="329C0281"/>
    <w:rsid w:val="32A00A10"/>
    <w:rsid w:val="32A86265"/>
    <w:rsid w:val="32AD0749"/>
    <w:rsid w:val="32AE399F"/>
    <w:rsid w:val="32B95D9C"/>
    <w:rsid w:val="32BF49E7"/>
    <w:rsid w:val="32BF6467"/>
    <w:rsid w:val="32C540C2"/>
    <w:rsid w:val="32CC03B4"/>
    <w:rsid w:val="32D07D90"/>
    <w:rsid w:val="32D27376"/>
    <w:rsid w:val="32DB05AB"/>
    <w:rsid w:val="32E13CCC"/>
    <w:rsid w:val="32E438AA"/>
    <w:rsid w:val="32E533FB"/>
    <w:rsid w:val="32E819FF"/>
    <w:rsid w:val="32EB181B"/>
    <w:rsid w:val="33061BE5"/>
    <w:rsid w:val="33245476"/>
    <w:rsid w:val="332A52E5"/>
    <w:rsid w:val="332B6201"/>
    <w:rsid w:val="333076A3"/>
    <w:rsid w:val="33314574"/>
    <w:rsid w:val="333C6745"/>
    <w:rsid w:val="333E7B30"/>
    <w:rsid w:val="333F72A5"/>
    <w:rsid w:val="33527FA4"/>
    <w:rsid w:val="33563F41"/>
    <w:rsid w:val="335D1BCA"/>
    <w:rsid w:val="335F0741"/>
    <w:rsid w:val="33713423"/>
    <w:rsid w:val="33753BF0"/>
    <w:rsid w:val="337B3772"/>
    <w:rsid w:val="337D0131"/>
    <w:rsid w:val="33822D5B"/>
    <w:rsid w:val="338B1B4E"/>
    <w:rsid w:val="33997FAC"/>
    <w:rsid w:val="339D3B92"/>
    <w:rsid w:val="339E5940"/>
    <w:rsid w:val="33A26AF3"/>
    <w:rsid w:val="33A31EDA"/>
    <w:rsid w:val="33A652D5"/>
    <w:rsid w:val="33AB4CD2"/>
    <w:rsid w:val="33C303DD"/>
    <w:rsid w:val="33C4789A"/>
    <w:rsid w:val="33C963B9"/>
    <w:rsid w:val="33D65747"/>
    <w:rsid w:val="33D92641"/>
    <w:rsid w:val="33DC3368"/>
    <w:rsid w:val="33DD72E3"/>
    <w:rsid w:val="33EC0464"/>
    <w:rsid w:val="34035798"/>
    <w:rsid w:val="34046576"/>
    <w:rsid w:val="340631F2"/>
    <w:rsid w:val="341100BE"/>
    <w:rsid w:val="341532F7"/>
    <w:rsid w:val="341C7922"/>
    <w:rsid w:val="342477F8"/>
    <w:rsid w:val="34276CEC"/>
    <w:rsid w:val="34285AE6"/>
    <w:rsid w:val="34292D31"/>
    <w:rsid w:val="342A4604"/>
    <w:rsid w:val="34374769"/>
    <w:rsid w:val="34384C36"/>
    <w:rsid w:val="34404A8B"/>
    <w:rsid w:val="34440FEA"/>
    <w:rsid w:val="345D0784"/>
    <w:rsid w:val="346D18A7"/>
    <w:rsid w:val="347025A4"/>
    <w:rsid w:val="34715493"/>
    <w:rsid w:val="347315F8"/>
    <w:rsid w:val="347E2F08"/>
    <w:rsid w:val="347E61F0"/>
    <w:rsid w:val="3482478D"/>
    <w:rsid w:val="34824A87"/>
    <w:rsid w:val="34885296"/>
    <w:rsid w:val="348A03FB"/>
    <w:rsid w:val="349050BA"/>
    <w:rsid w:val="34964B58"/>
    <w:rsid w:val="34997444"/>
    <w:rsid w:val="349F602D"/>
    <w:rsid w:val="34A01796"/>
    <w:rsid w:val="34A211A1"/>
    <w:rsid w:val="34B418BF"/>
    <w:rsid w:val="34B859F4"/>
    <w:rsid w:val="34BE04E2"/>
    <w:rsid w:val="34C64295"/>
    <w:rsid w:val="34CB7F9B"/>
    <w:rsid w:val="34D0098A"/>
    <w:rsid w:val="34E809EF"/>
    <w:rsid w:val="34E91AB8"/>
    <w:rsid w:val="34E92D48"/>
    <w:rsid w:val="34EC4129"/>
    <w:rsid w:val="34F27D4D"/>
    <w:rsid w:val="34F404CA"/>
    <w:rsid w:val="34FA3C93"/>
    <w:rsid w:val="3500529A"/>
    <w:rsid w:val="350D6620"/>
    <w:rsid w:val="350D7B45"/>
    <w:rsid w:val="35120403"/>
    <w:rsid w:val="35162674"/>
    <w:rsid w:val="3517529D"/>
    <w:rsid w:val="35197BC1"/>
    <w:rsid w:val="35207B16"/>
    <w:rsid w:val="35253337"/>
    <w:rsid w:val="35285C26"/>
    <w:rsid w:val="3535029D"/>
    <w:rsid w:val="35385C49"/>
    <w:rsid w:val="353D23A3"/>
    <w:rsid w:val="354A3CF6"/>
    <w:rsid w:val="3550598C"/>
    <w:rsid w:val="355122C1"/>
    <w:rsid w:val="35652740"/>
    <w:rsid w:val="3572137F"/>
    <w:rsid w:val="357F1A99"/>
    <w:rsid w:val="358E1A98"/>
    <w:rsid w:val="35975E5A"/>
    <w:rsid w:val="35976334"/>
    <w:rsid w:val="359909A8"/>
    <w:rsid w:val="359C0300"/>
    <w:rsid w:val="359C7F8E"/>
    <w:rsid w:val="35A665D0"/>
    <w:rsid w:val="35AE6C9A"/>
    <w:rsid w:val="35B569EF"/>
    <w:rsid w:val="35B922F5"/>
    <w:rsid w:val="35BB1454"/>
    <w:rsid w:val="35BB6A83"/>
    <w:rsid w:val="35C662BD"/>
    <w:rsid w:val="35C850F3"/>
    <w:rsid w:val="35CA53C1"/>
    <w:rsid w:val="35D033EA"/>
    <w:rsid w:val="35E7513C"/>
    <w:rsid w:val="35F533C8"/>
    <w:rsid w:val="36004446"/>
    <w:rsid w:val="360A7417"/>
    <w:rsid w:val="361677A3"/>
    <w:rsid w:val="361B1750"/>
    <w:rsid w:val="361D34D1"/>
    <w:rsid w:val="361F516C"/>
    <w:rsid w:val="36206560"/>
    <w:rsid w:val="36285CEA"/>
    <w:rsid w:val="362E2065"/>
    <w:rsid w:val="36300731"/>
    <w:rsid w:val="364E1D19"/>
    <w:rsid w:val="365341EB"/>
    <w:rsid w:val="365421DB"/>
    <w:rsid w:val="36586D67"/>
    <w:rsid w:val="36616CCD"/>
    <w:rsid w:val="36655411"/>
    <w:rsid w:val="36660DE3"/>
    <w:rsid w:val="367F7CE2"/>
    <w:rsid w:val="368335AD"/>
    <w:rsid w:val="36892235"/>
    <w:rsid w:val="3689345A"/>
    <w:rsid w:val="368C7DF0"/>
    <w:rsid w:val="36921821"/>
    <w:rsid w:val="3693201D"/>
    <w:rsid w:val="369F3E87"/>
    <w:rsid w:val="36A10E14"/>
    <w:rsid w:val="36AC5E34"/>
    <w:rsid w:val="36B761E3"/>
    <w:rsid w:val="36B7731B"/>
    <w:rsid w:val="36B82F0F"/>
    <w:rsid w:val="36C409FA"/>
    <w:rsid w:val="36CA5C8E"/>
    <w:rsid w:val="36DA7940"/>
    <w:rsid w:val="36E779F0"/>
    <w:rsid w:val="36EC14E0"/>
    <w:rsid w:val="36EE1A2D"/>
    <w:rsid w:val="36F72A06"/>
    <w:rsid w:val="370D55B9"/>
    <w:rsid w:val="37167202"/>
    <w:rsid w:val="371943EA"/>
    <w:rsid w:val="371A7242"/>
    <w:rsid w:val="37227FE0"/>
    <w:rsid w:val="37312755"/>
    <w:rsid w:val="37324EB0"/>
    <w:rsid w:val="37336B7A"/>
    <w:rsid w:val="3735530C"/>
    <w:rsid w:val="373A01F9"/>
    <w:rsid w:val="373B35C5"/>
    <w:rsid w:val="373D3243"/>
    <w:rsid w:val="37417474"/>
    <w:rsid w:val="37502F8E"/>
    <w:rsid w:val="375D67C3"/>
    <w:rsid w:val="376314C8"/>
    <w:rsid w:val="37676435"/>
    <w:rsid w:val="37723623"/>
    <w:rsid w:val="377264D1"/>
    <w:rsid w:val="377757F9"/>
    <w:rsid w:val="377801D1"/>
    <w:rsid w:val="377D1272"/>
    <w:rsid w:val="378E22B2"/>
    <w:rsid w:val="37955867"/>
    <w:rsid w:val="3798242B"/>
    <w:rsid w:val="379F44E7"/>
    <w:rsid w:val="37A133D2"/>
    <w:rsid w:val="37AE1A81"/>
    <w:rsid w:val="37C47841"/>
    <w:rsid w:val="37D24B10"/>
    <w:rsid w:val="37D34126"/>
    <w:rsid w:val="37E114D1"/>
    <w:rsid w:val="37F31872"/>
    <w:rsid w:val="37F7321D"/>
    <w:rsid w:val="38103752"/>
    <w:rsid w:val="381B44C5"/>
    <w:rsid w:val="381C701A"/>
    <w:rsid w:val="381C72E3"/>
    <w:rsid w:val="382C3056"/>
    <w:rsid w:val="38392099"/>
    <w:rsid w:val="38454E3B"/>
    <w:rsid w:val="386B10D2"/>
    <w:rsid w:val="386F6A7D"/>
    <w:rsid w:val="38770C8F"/>
    <w:rsid w:val="38787313"/>
    <w:rsid w:val="3879769E"/>
    <w:rsid w:val="3880569B"/>
    <w:rsid w:val="38864697"/>
    <w:rsid w:val="3888239E"/>
    <w:rsid w:val="388B4B75"/>
    <w:rsid w:val="389A2A4F"/>
    <w:rsid w:val="389E3463"/>
    <w:rsid w:val="38A37F16"/>
    <w:rsid w:val="38AC7789"/>
    <w:rsid w:val="38B53F1F"/>
    <w:rsid w:val="38B9002B"/>
    <w:rsid w:val="38D211C1"/>
    <w:rsid w:val="38D33A09"/>
    <w:rsid w:val="38DE0A08"/>
    <w:rsid w:val="38E023CB"/>
    <w:rsid w:val="38F05D77"/>
    <w:rsid w:val="38F675EC"/>
    <w:rsid w:val="38FD3E89"/>
    <w:rsid w:val="38FD410E"/>
    <w:rsid w:val="39044401"/>
    <w:rsid w:val="390569AB"/>
    <w:rsid w:val="39077E80"/>
    <w:rsid w:val="3909021A"/>
    <w:rsid w:val="390B4A3C"/>
    <w:rsid w:val="39145D2E"/>
    <w:rsid w:val="39171B3E"/>
    <w:rsid w:val="391D3B79"/>
    <w:rsid w:val="3925103F"/>
    <w:rsid w:val="3928683D"/>
    <w:rsid w:val="39386ED4"/>
    <w:rsid w:val="393974A5"/>
    <w:rsid w:val="393D650B"/>
    <w:rsid w:val="39422D25"/>
    <w:rsid w:val="39443C65"/>
    <w:rsid w:val="39523E22"/>
    <w:rsid w:val="396C5565"/>
    <w:rsid w:val="39783A22"/>
    <w:rsid w:val="397A7ACF"/>
    <w:rsid w:val="397B7A73"/>
    <w:rsid w:val="397E36F5"/>
    <w:rsid w:val="3984320C"/>
    <w:rsid w:val="3986276D"/>
    <w:rsid w:val="398B2207"/>
    <w:rsid w:val="39921CCB"/>
    <w:rsid w:val="39955742"/>
    <w:rsid w:val="399816E5"/>
    <w:rsid w:val="39A836AD"/>
    <w:rsid w:val="39AF5EDD"/>
    <w:rsid w:val="39B442B0"/>
    <w:rsid w:val="39C63B90"/>
    <w:rsid w:val="39D2404C"/>
    <w:rsid w:val="39D35EB2"/>
    <w:rsid w:val="39DB60B4"/>
    <w:rsid w:val="39DF5F71"/>
    <w:rsid w:val="39E45D21"/>
    <w:rsid w:val="39E53861"/>
    <w:rsid w:val="39ED6ECF"/>
    <w:rsid w:val="39F80E7D"/>
    <w:rsid w:val="39FE422A"/>
    <w:rsid w:val="3A1152B4"/>
    <w:rsid w:val="3A16091D"/>
    <w:rsid w:val="3A1A2AB3"/>
    <w:rsid w:val="3A2640F3"/>
    <w:rsid w:val="3A28697F"/>
    <w:rsid w:val="3A305DCC"/>
    <w:rsid w:val="3A376BB2"/>
    <w:rsid w:val="3A4D42C3"/>
    <w:rsid w:val="3A565D0A"/>
    <w:rsid w:val="3A5E285D"/>
    <w:rsid w:val="3A5E69CB"/>
    <w:rsid w:val="3A7D4E1C"/>
    <w:rsid w:val="3A817133"/>
    <w:rsid w:val="3A8A775B"/>
    <w:rsid w:val="3A92063F"/>
    <w:rsid w:val="3A982759"/>
    <w:rsid w:val="3A990ADF"/>
    <w:rsid w:val="3A9D29F8"/>
    <w:rsid w:val="3AA17BC2"/>
    <w:rsid w:val="3AAE7E36"/>
    <w:rsid w:val="3AC35D60"/>
    <w:rsid w:val="3ACC781E"/>
    <w:rsid w:val="3ACE1159"/>
    <w:rsid w:val="3AD126EA"/>
    <w:rsid w:val="3AD5209F"/>
    <w:rsid w:val="3ADC064C"/>
    <w:rsid w:val="3AE336B3"/>
    <w:rsid w:val="3AE5334E"/>
    <w:rsid w:val="3AE91A1B"/>
    <w:rsid w:val="3AE96DD9"/>
    <w:rsid w:val="3AEB29E4"/>
    <w:rsid w:val="3AEE169A"/>
    <w:rsid w:val="3AEF77C7"/>
    <w:rsid w:val="3AF41153"/>
    <w:rsid w:val="3AF64E0A"/>
    <w:rsid w:val="3B08136F"/>
    <w:rsid w:val="3B2C17BF"/>
    <w:rsid w:val="3B30377B"/>
    <w:rsid w:val="3B3A6149"/>
    <w:rsid w:val="3B450558"/>
    <w:rsid w:val="3B52191F"/>
    <w:rsid w:val="3B53098C"/>
    <w:rsid w:val="3B541FA5"/>
    <w:rsid w:val="3B576CFE"/>
    <w:rsid w:val="3B6256A7"/>
    <w:rsid w:val="3B682530"/>
    <w:rsid w:val="3B6836C8"/>
    <w:rsid w:val="3B6A7317"/>
    <w:rsid w:val="3B711D35"/>
    <w:rsid w:val="3B7127CA"/>
    <w:rsid w:val="3B7571AC"/>
    <w:rsid w:val="3B783601"/>
    <w:rsid w:val="3B801F6D"/>
    <w:rsid w:val="3B8D2AB7"/>
    <w:rsid w:val="3B8F4DCB"/>
    <w:rsid w:val="3B9E4165"/>
    <w:rsid w:val="3BA323C2"/>
    <w:rsid w:val="3BA368EA"/>
    <w:rsid w:val="3BA86A3D"/>
    <w:rsid w:val="3BAA5508"/>
    <w:rsid w:val="3BAF2368"/>
    <w:rsid w:val="3BB316DB"/>
    <w:rsid w:val="3BB94112"/>
    <w:rsid w:val="3BCD7021"/>
    <w:rsid w:val="3BD3398A"/>
    <w:rsid w:val="3BE0672C"/>
    <w:rsid w:val="3BE407FF"/>
    <w:rsid w:val="3BE41D29"/>
    <w:rsid w:val="3BE757E8"/>
    <w:rsid w:val="3BE8290A"/>
    <w:rsid w:val="3BEA57F2"/>
    <w:rsid w:val="3BF1692F"/>
    <w:rsid w:val="3BF22E85"/>
    <w:rsid w:val="3BF94101"/>
    <w:rsid w:val="3C032333"/>
    <w:rsid w:val="3C0674EB"/>
    <w:rsid w:val="3C072DE6"/>
    <w:rsid w:val="3C1170E5"/>
    <w:rsid w:val="3C1852D4"/>
    <w:rsid w:val="3C217E96"/>
    <w:rsid w:val="3C220143"/>
    <w:rsid w:val="3C221FE1"/>
    <w:rsid w:val="3C2D7421"/>
    <w:rsid w:val="3C525A79"/>
    <w:rsid w:val="3C554ACA"/>
    <w:rsid w:val="3C791C27"/>
    <w:rsid w:val="3C853BC2"/>
    <w:rsid w:val="3C854750"/>
    <w:rsid w:val="3C86712C"/>
    <w:rsid w:val="3C9049D1"/>
    <w:rsid w:val="3C910F55"/>
    <w:rsid w:val="3C964564"/>
    <w:rsid w:val="3C9D0D36"/>
    <w:rsid w:val="3CAA4770"/>
    <w:rsid w:val="3CAE18C0"/>
    <w:rsid w:val="3CB27433"/>
    <w:rsid w:val="3CBF0499"/>
    <w:rsid w:val="3CC241E8"/>
    <w:rsid w:val="3CC335C3"/>
    <w:rsid w:val="3CC44C2B"/>
    <w:rsid w:val="3CC67AB3"/>
    <w:rsid w:val="3CCE4BF8"/>
    <w:rsid w:val="3CD0036B"/>
    <w:rsid w:val="3CE62E94"/>
    <w:rsid w:val="3CE7636C"/>
    <w:rsid w:val="3CE84682"/>
    <w:rsid w:val="3CEB641B"/>
    <w:rsid w:val="3CFC6246"/>
    <w:rsid w:val="3D016452"/>
    <w:rsid w:val="3D064743"/>
    <w:rsid w:val="3D081509"/>
    <w:rsid w:val="3D18136A"/>
    <w:rsid w:val="3D1F0850"/>
    <w:rsid w:val="3D22662A"/>
    <w:rsid w:val="3D282AE6"/>
    <w:rsid w:val="3D285D9B"/>
    <w:rsid w:val="3D332F43"/>
    <w:rsid w:val="3D34105A"/>
    <w:rsid w:val="3D374AF2"/>
    <w:rsid w:val="3D3F1067"/>
    <w:rsid w:val="3D4807D6"/>
    <w:rsid w:val="3D5953CE"/>
    <w:rsid w:val="3D636A5B"/>
    <w:rsid w:val="3D730A59"/>
    <w:rsid w:val="3D776433"/>
    <w:rsid w:val="3D7D5A52"/>
    <w:rsid w:val="3D7F2DA1"/>
    <w:rsid w:val="3D9112F0"/>
    <w:rsid w:val="3D9A5F4E"/>
    <w:rsid w:val="3DA11235"/>
    <w:rsid w:val="3DAB55F3"/>
    <w:rsid w:val="3DBB1398"/>
    <w:rsid w:val="3DBE3ECA"/>
    <w:rsid w:val="3DD20ADF"/>
    <w:rsid w:val="3DDC12DA"/>
    <w:rsid w:val="3DEA0167"/>
    <w:rsid w:val="3E077A10"/>
    <w:rsid w:val="3E101CE2"/>
    <w:rsid w:val="3E111391"/>
    <w:rsid w:val="3E12450E"/>
    <w:rsid w:val="3E152315"/>
    <w:rsid w:val="3E1E2FD3"/>
    <w:rsid w:val="3E204A30"/>
    <w:rsid w:val="3E2176AF"/>
    <w:rsid w:val="3E235C7E"/>
    <w:rsid w:val="3E24164A"/>
    <w:rsid w:val="3E2930E5"/>
    <w:rsid w:val="3E3D4FFD"/>
    <w:rsid w:val="3E4D559D"/>
    <w:rsid w:val="3E5710E4"/>
    <w:rsid w:val="3E6160BF"/>
    <w:rsid w:val="3E667BC3"/>
    <w:rsid w:val="3E6966A2"/>
    <w:rsid w:val="3E6A093A"/>
    <w:rsid w:val="3E6B4ED0"/>
    <w:rsid w:val="3E734F82"/>
    <w:rsid w:val="3E757D7B"/>
    <w:rsid w:val="3E7A699E"/>
    <w:rsid w:val="3E7B7BE2"/>
    <w:rsid w:val="3E7C44ED"/>
    <w:rsid w:val="3E8A0079"/>
    <w:rsid w:val="3E8A0574"/>
    <w:rsid w:val="3E8F324A"/>
    <w:rsid w:val="3E91086C"/>
    <w:rsid w:val="3E936D43"/>
    <w:rsid w:val="3EA813C3"/>
    <w:rsid w:val="3EAC0AC0"/>
    <w:rsid w:val="3EB1454A"/>
    <w:rsid w:val="3EB83D93"/>
    <w:rsid w:val="3EBA231B"/>
    <w:rsid w:val="3EBC2DA6"/>
    <w:rsid w:val="3EBC3581"/>
    <w:rsid w:val="3EC303C2"/>
    <w:rsid w:val="3EC4087D"/>
    <w:rsid w:val="3EC40DF4"/>
    <w:rsid w:val="3EC8413B"/>
    <w:rsid w:val="3ECA2124"/>
    <w:rsid w:val="3ED6759C"/>
    <w:rsid w:val="3EE14C95"/>
    <w:rsid w:val="3EE9102E"/>
    <w:rsid w:val="3EF82D29"/>
    <w:rsid w:val="3EFB4D32"/>
    <w:rsid w:val="3EFE003F"/>
    <w:rsid w:val="3EFE4091"/>
    <w:rsid w:val="3F294031"/>
    <w:rsid w:val="3F2B315F"/>
    <w:rsid w:val="3F3547F3"/>
    <w:rsid w:val="3F386182"/>
    <w:rsid w:val="3F425623"/>
    <w:rsid w:val="3F4B2357"/>
    <w:rsid w:val="3F4F32DE"/>
    <w:rsid w:val="3F504CB1"/>
    <w:rsid w:val="3F6F767B"/>
    <w:rsid w:val="3F753094"/>
    <w:rsid w:val="3F780868"/>
    <w:rsid w:val="3F7F7B41"/>
    <w:rsid w:val="3F855C24"/>
    <w:rsid w:val="3F8C5341"/>
    <w:rsid w:val="3F8F7AF2"/>
    <w:rsid w:val="3F967BF1"/>
    <w:rsid w:val="3FA127AF"/>
    <w:rsid w:val="3FA57CCB"/>
    <w:rsid w:val="3FAB12D1"/>
    <w:rsid w:val="3FAC1179"/>
    <w:rsid w:val="3FB2751E"/>
    <w:rsid w:val="3FB5008E"/>
    <w:rsid w:val="3FB620E5"/>
    <w:rsid w:val="3FB62AA0"/>
    <w:rsid w:val="3FBF268B"/>
    <w:rsid w:val="3FC9667D"/>
    <w:rsid w:val="3FCC44F6"/>
    <w:rsid w:val="3FCE186D"/>
    <w:rsid w:val="3FD1218A"/>
    <w:rsid w:val="3FD96BF8"/>
    <w:rsid w:val="3FE06F6F"/>
    <w:rsid w:val="3FE12AC4"/>
    <w:rsid w:val="3FE46BB5"/>
    <w:rsid w:val="3FE47381"/>
    <w:rsid w:val="3FF45936"/>
    <w:rsid w:val="3FFA4D94"/>
    <w:rsid w:val="400460BC"/>
    <w:rsid w:val="4010411E"/>
    <w:rsid w:val="40197101"/>
    <w:rsid w:val="401D17D1"/>
    <w:rsid w:val="40252E87"/>
    <w:rsid w:val="402B7A22"/>
    <w:rsid w:val="4032232A"/>
    <w:rsid w:val="403373A6"/>
    <w:rsid w:val="403456BE"/>
    <w:rsid w:val="40362AD2"/>
    <w:rsid w:val="4049031F"/>
    <w:rsid w:val="40494160"/>
    <w:rsid w:val="404B0689"/>
    <w:rsid w:val="404D0208"/>
    <w:rsid w:val="404F42F7"/>
    <w:rsid w:val="405236BD"/>
    <w:rsid w:val="405249B3"/>
    <w:rsid w:val="405A49CA"/>
    <w:rsid w:val="405F44D5"/>
    <w:rsid w:val="406670FF"/>
    <w:rsid w:val="40684AF7"/>
    <w:rsid w:val="40695450"/>
    <w:rsid w:val="406E2D3E"/>
    <w:rsid w:val="407104F2"/>
    <w:rsid w:val="40723944"/>
    <w:rsid w:val="40783841"/>
    <w:rsid w:val="40792675"/>
    <w:rsid w:val="407F7802"/>
    <w:rsid w:val="40952F83"/>
    <w:rsid w:val="40966BFB"/>
    <w:rsid w:val="409D14C1"/>
    <w:rsid w:val="409E093A"/>
    <w:rsid w:val="40A35EDB"/>
    <w:rsid w:val="40A71ED0"/>
    <w:rsid w:val="40AE79CA"/>
    <w:rsid w:val="40BA3BB2"/>
    <w:rsid w:val="40BB39D4"/>
    <w:rsid w:val="40BD7991"/>
    <w:rsid w:val="40C907BB"/>
    <w:rsid w:val="40CC388D"/>
    <w:rsid w:val="40CE7E50"/>
    <w:rsid w:val="40CF382B"/>
    <w:rsid w:val="40D12044"/>
    <w:rsid w:val="40E34B7E"/>
    <w:rsid w:val="40E96D47"/>
    <w:rsid w:val="40EB4D15"/>
    <w:rsid w:val="40F17B80"/>
    <w:rsid w:val="40F419A3"/>
    <w:rsid w:val="40F62B30"/>
    <w:rsid w:val="40F80AD2"/>
    <w:rsid w:val="40F92220"/>
    <w:rsid w:val="40FB60BE"/>
    <w:rsid w:val="4101270A"/>
    <w:rsid w:val="41020CA1"/>
    <w:rsid w:val="410B6EF7"/>
    <w:rsid w:val="4110269C"/>
    <w:rsid w:val="41107011"/>
    <w:rsid w:val="41127D15"/>
    <w:rsid w:val="41153C81"/>
    <w:rsid w:val="41212078"/>
    <w:rsid w:val="412129BC"/>
    <w:rsid w:val="412378FC"/>
    <w:rsid w:val="41275D40"/>
    <w:rsid w:val="41301AD9"/>
    <w:rsid w:val="41320539"/>
    <w:rsid w:val="41341B6C"/>
    <w:rsid w:val="4136062E"/>
    <w:rsid w:val="413E000E"/>
    <w:rsid w:val="413E5C31"/>
    <w:rsid w:val="41472780"/>
    <w:rsid w:val="414C1887"/>
    <w:rsid w:val="414D5D49"/>
    <w:rsid w:val="41520DFD"/>
    <w:rsid w:val="415A32EB"/>
    <w:rsid w:val="415A7497"/>
    <w:rsid w:val="41644CCE"/>
    <w:rsid w:val="417033E2"/>
    <w:rsid w:val="41792E40"/>
    <w:rsid w:val="417C1294"/>
    <w:rsid w:val="417F25ED"/>
    <w:rsid w:val="41826D6D"/>
    <w:rsid w:val="41966AF1"/>
    <w:rsid w:val="41975D72"/>
    <w:rsid w:val="41A15824"/>
    <w:rsid w:val="41A8239D"/>
    <w:rsid w:val="41B057F1"/>
    <w:rsid w:val="41C02A6C"/>
    <w:rsid w:val="41C639EB"/>
    <w:rsid w:val="41C82C78"/>
    <w:rsid w:val="41CB44EF"/>
    <w:rsid w:val="41CB7683"/>
    <w:rsid w:val="41CC667D"/>
    <w:rsid w:val="41DB6309"/>
    <w:rsid w:val="41DB6BF8"/>
    <w:rsid w:val="41DE558C"/>
    <w:rsid w:val="41E1536F"/>
    <w:rsid w:val="41F62556"/>
    <w:rsid w:val="41FF1737"/>
    <w:rsid w:val="4207155E"/>
    <w:rsid w:val="420B654E"/>
    <w:rsid w:val="420F6E60"/>
    <w:rsid w:val="421067A1"/>
    <w:rsid w:val="42193DCC"/>
    <w:rsid w:val="421E4E22"/>
    <w:rsid w:val="422419DB"/>
    <w:rsid w:val="422566DD"/>
    <w:rsid w:val="4229635A"/>
    <w:rsid w:val="422A6C46"/>
    <w:rsid w:val="422D0956"/>
    <w:rsid w:val="423271E4"/>
    <w:rsid w:val="423F49F1"/>
    <w:rsid w:val="4245290C"/>
    <w:rsid w:val="42460BFB"/>
    <w:rsid w:val="424B3538"/>
    <w:rsid w:val="426A059A"/>
    <w:rsid w:val="426A07AB"/>
    <w:rsid w:val="426D6F4F"/>
    <w:rsid w:val="426E65A4"/>
    <w:rsid w:val="42756A28"/>
    <w:rsid w:val="42762FF2"/>
    <w:rsid w:val="427748A1"/>
    <w:rsid w:val="427C3963"/>
    <w:rsid w:val="4280311C"/>
    <w:rsid w:val="42876510"/>
    <w:rsid w:val="42912339"/>
    <w:rsid w:val="4293689B"/>
    <w:rsid w:val="429B696B"/>
    <w:rsid w:val="429E00F0"/>
    <w:rsid w:val="42A220F5"/>
    <w:rsid w:val="42A253CB"/>
    <w:rsid w:val="42A579F5"/>
    <w:rsid w:val="42AC0E2C"/>
    <w:rsid w:val="42AE69B6"/>
    <w:rsid w:val="42B16F11"/>
    <w:rsid w:val="42B5095C"/>
    <w:rsid w:val="42C17ADF"/>
    <w:rsid w:val="42D30EA3"/>
    <w:rsid w:val="42D7198E"/>
    <w:rsid w:val="42D771DE"/>
    <w:rsid w:val="42DB44D6"/>
    <w:rsid w:val="42DC7043"/>
    <w:rsid w:val="42DD292E"/>
    <w:rsid w:val="42DF7574"/>
    <w:rsid w:val="42EA442E"/>
    <w:rsid w:val="42EB0F7B"/>
    <w:rsid w:val="42F40F25"/>
    <w:rsid w:val="43030407"/>
    <w:rsid w:val="4308309A"/>
    <w:rsid w:val="430D77D3"/>
    <w:rsid w:val="431239F3"/>
    <w:rsid w:val="43133B07"/>
    <w:rsid w:val="431A17B9"/>
    <w:rsid w:val="43270D9C"/>
    <w:rsid w:val="43293DD4"/>
    <w:rsid w:val="43313254"/>
    <w:rsid w:val="434145CF"/>
    <w:rsid w:val="4342471E"/>
    <w:rsid w:val="43427011"/>
    <w:rsid w:val="43440C64"/>
    <w:rsid w:val="43482594"/>
    <w:rsid w:val="4349039F"/>
    <w:rsid w:val="434F353C"/>
    <w:rsid w:val="435C307D"/>
    <w:rsid w:val="43607A7E"/>
    <w:rsid w:val="43613BAB"/>
    <w:rsid w:val="43652293"/>
    <w:rsid w:val="436C1BCB"/>
    <w:rsid w:val="4378259B"/>
    <w:rsid w:val="43871921"/>
    <w:rsid w:val="43896AED"/>
    <w:rsid w:val="43967A4A"/>
    <w:rsid w:val="439B1E06"/>
    <w:rsid w:val="439B22A1"/>
    <w:rsid w:val="43B2241B"/>
    <w:rsid w:val="43B25034"/>
    <w:rsid w:val="43B3329D"/>
    <w:rsid w:val="43BF34D2"/>
    <w:rsid w:val="43C1714A"/>
    <w:rsid w:val="43C175CD"/>
    <w:rsid w:val="43CA5C4D"/>
    <w:rsid w:val="43D02201"/>
    <w:rsid w:val="43D5061D"/>
    <w:rsid w:val="43D81251"/>
    <w:rsid w:val="43D95B47"/>
    <w:rsid w:val="43DD4208"/>
    <w:rsid w:val="43E64C15"/>
    <w:rsid w:val="43E97C7E"/>
    <w:rsid w:val="43F73979"/>
    <w:rsid w:val="43FD749C"/>
    <w:rsid w:val="44051114"/>
    <w:rsid w:val="4408526A"/>
    <w:rsid w:val="440C4AD2"/>
    <w:rsid w:val="441347BF"/>
    <w:rsid w:val="441621D5"/>
    <w:rsid w:val="441908AB"/>
    <w:rsid w:val="441E6879"/>
    <w:rsid w:val="442424FB"/>
    <w:rsid w:val="44245FFB"/>
    <w:rsid w:val="442507F4"/>
    <w:rsid w:val="44342714"/>
    <w:rsid w:val="443538BA"/>
    <w:rsid w:val="44394C28"/>
    <w:rsid w:val="443B6C07"/>
    <w:rsid w:val="4445236A"/>
    <w:rsid w:val="444A1E4F"/>
    <w:rsid w:val="44511B6D"/>
    <w:rsid w:val="44517301"/>
    <w:rsid w:val="44523950"/>
    <w:rsid w:val="44592AF3"/>
    <w:rsid w:val="445F1396"/>
    <w:rsid w:val="446E7F33"/>
    <w:rsid w:val="447017EF"/>
    <w:rsid w:val="44841A1F"/>
    <w:rsid w:val="448C0BE6"/>
    <w:rsid w:val="44907D75"/>
    <w:rsid w:val="4498412D"/>
    <w:rsid w:val="44990F89"/>
    <w:rsid w:val="449F30AE"/>
    <w:rsid w:val="44A24BD8"/>
    <w:rsid w:val="44A42D47"/>
    <w:rsid w:val="44AA1E38"/>
    <w:rsid w:val="44AC175D"/>
    <w:rsid w:val="44BD6D9D"/>
    <w:rsid w:val="44CA6059"/>
    <w:rsid w:val="44CF440B"/>
    <w:rsid w:val="44D03E22"/>
    <w:rsid w:val="44D30B7A"/>
    <w:rsid w:val="44DE14E2"/>
    <w:rsid w:val="44E00794"/>
    <w:rsid w:val="44E0094D"/>
    <w:rsid w:val="44E10422"/>
    <w:rsid w:val="44E20FB4"/>
    <w:rsid w:val="44E51F02"/>
    <w:rsid w:val="44E534AF"/>
    <w:rsid w:val="44E5502E"/>
    <w:rsid w:val="44F70547"/>
    <w:rsid w:val="44FE67A7"/>
    <w:rsid w:val="4500331B"/>
    <w:rsid w:val="450C5EF3"/>
    <w:rsid w:val="45160658"/>
    <w:rsid w:val="451B4190"/>
    <w:rsid w:val="45240A94"/>
    <w:rsid w:val="45261D12"/>
    <w:rsid w:val="45273E8C"/>
    <w:rsid w:val="45274700"/>
    <w:rsid w:val="453A4FA0"/>
    <w:rsid w:val="453C69A1"/>
    <w:rsid w:val="453D0BC5"/>
    <w:rsid w:val="453D439B"/>
    <w:rsid w:val="45447DE1"/>
    <w:rsid w:val="4547224A"/>
    <w:rsid w:val="45487547"/>
    <w:rsid w:val="454D130A"/>
    <w:rsid w:val="454F1A11"/>
    <w:rsid w:val="4552339D"/>
    <w:rsid w:val="455336A1"/>
    <w:rsid w:val="455A60DE"/>
    <w:rsid w:val="455C1115"/>
    <w:rsid w:val="45612C57"/>
    <w:rsid w:val="4566495F"/>
    <w:rsid w:val="456A4083"/>
    <w:rsid w:val="457C14ED"/>
    <w:rsid w:val="45931BBD"/>
    <w:rsid w:val="45943FA6"/>
    <w:rsid w:val="45945E1F"/>
    <w:rsid w:val="459A371A"/>
    <w:rsid w:val="459C6726"/>
    <w:rsid w:val="459D1182"/>
    <w:rsid w:val="45B10F6A"/>
    <w:rsid w:val="45BF41D8"/>
    <w:rsid w:val="45C23515"/>
    <w:rsid w:val="45CB5F96"/>
    <w:rsid w:val="45D249FC"/>
    <w:rsid w:val="45D6405C"/>
    <w:rsid w:val="45D918B4"/>
    <w:rsid w:val="45E00B5A"/>
    <w:rsid w:val="45E21497"/>
    <w:rsid w:val="45E428FA"/>
    <w:rsid w:val="45E80609"/>
    <w:rsid w:val="45EF1B6E"/>
    <w:rsid w:val="45F253ED"/>
    <w:rsid w:val="45F34096"/>
    <w:rsid w:val="4604252E"/>
    <w:rsid w:val="46102E91"/>
    <w:rsid w:val="46143BD2"/>
    <w:rsid w:val="461C2599"/>
    <w:rsid w:val="46276FDC"/>
    <w:rsid w:val="46302907"/>
    <w:rsid w:val="46311F20"/>
    <w:rsid w:val="46332B4B"/>
    <w:rsid w:val="463A1F14"/>
    <w:rsid w:val="4641457F"/>
    <w:rsid w:val="46551F54"/>
    <w:rsid w:val="4659571D"/>
    <w:rsid w:val="465C42FA"/>
    <w:rsid w:val="4674577E"/>
    <w:rsid w:val="467922D1"/>
    <w:rsid w:val="467B2C3D"/>
    <w:rsid w:val="467B40E8"/>
    <w:rsid w:val="467F645E"/>
    <w:rsid w:val="4695582A"/>
    <w:rsid w:val="469F39C4"/>
    <w:rsid w:val="46A7587E"/>
    <w:rsid w:val="46AA1E03"/>
    <w:rsid w:val="46AB3F5A"/>
    <w:rsid w:val="46B36A77"/>
    <w:rsid w:val="46B44A10"/>
    <w:rsid w:val="46B76D86"/>
    <w:rsid w:val="46C37639"/>
    <w:rsid w:val="46C43F27"/>
    <w:rsid w:val="46D32B9D"/>
    <w:rsid w:val="46DC360F"/>
    <w:rsid w:val="46DD0BFD"/>
    <w:rsid w:val="46E36E6A"/>
    <w:rsid w:val="46E7235E"/>
    <w:rsid w:val="46EC76DE"/>
    <w:rsid w:val="46EE6F05"/>
    <w:rsid w:val="46F36EA6"/>
    <w:rsid w:val="46F53BCD"/>
    <w:rsid w:val="46F55730"/>
    <w:rsid w:val="46FD663D"/>
    <w:rsid w:val="47131427"/>
    <w:rsid w:val="471457A2"/>
    <w:rsid w:val="47174CA5"/>
    <w:rsid w:val="4717702E"/>
    <w:rsid w:val="4717736F"/>
    <w:rsid w:val="471A626B"/>
    <w:rsid w:val="472D013D"/>
    <w:rsid w:val="473458A3"/>
    <w:rsid w:val="473A7378"/>
    <w:rsid w:val="473B6EFF"/>
    <w:rsid w:val="475240B6"/>
    <w:rsid w:val="475534DD"/>
    <w:rsid w:val="47561CC5"/>
    <w:rsid w:val="476300BC"/>
    <w:rsid w:val="4765607A"/>
    <w:rsid w:val="477D31C3"/>
    <w:rsid w:val="477E5638"/>
    <w:rsid w:val="47800D09"/>
    <w:rsid w:val="4781222B"/>
    <w:rsid w:val="47906C7E"/>
    <w:rsid w:val="47A5129E"/>
    <w:rsid w:val="47A63D68"/>
    <w:rsid w:val="47AB7C9C"/>
    <w:rsid w:val="47B02CC1"/>
    <w:rsid w:val="47B10CCF"/>
    <w:rsid w:val="47B20D57"/>
    <w:rsid w:val="47B25427"/>
    <w:rsid w:val="47B6136F"/>
    <w:rsid w:val="47B73DA7"/>
    <w:rsid w:val="47B93A37"/>
    <w:rsid w:val="47C37323"/>
    <w:rsid w:val="47C83D9D"/>
    <w:rsid w:val="47C91939"/>
    <w:rsid w:val="47D04CE1"/>
    <w:rsid w:val="47D11C98"/>
    <w:rsid w:val="47D14949"/>
    <w:rsid w:val="47E53520"/>
    <w:rsid w:val="47F140E9"/>
    <w:rsid w:val="47F72C74"/>
    <w:rsid w:val="47FF418B"/>
    <w:rsid w:val="48020498"/>
    <w:rsid w:val="48091B3E"/>
    <w:rsid w:val="480F371A"/>
    <w:rsid w:val="482167EB"/>
    <w:rsid w:val="4826097D"/>
    <w:rsid w:val="482766BC"/>
    <w:rsid w:val="482C5EB6"/>
    <w:rsid w:val="482F7E52"/>
    <w:rsid w:val="48321FB8"/>
    <w:rsid w:val="48354226"/>
    <w:rsid w:val="4837599B"/>
    <w:rsid w:val="485371AF"/>
    <w:rsid w:val="48585D96"/>
    <w:rsid w:val="485C020F"/>
    <w:rsid w:val="48646F32"/>
    <w:rsid w:val="48771080"/>
    <w:rsid w:val="487828EB"/>
    <w:rsid w:val="487B5A5B"/>
    <w:rsid w:val="487C274C"/>
    <w:rsid w:val="4880414A"/>
    <w:rsid w:val="488500D5"/>
    <w:rsid w:val="488B5C6F"/>
    <w:rsid w:val="488C7C93"/>
    <w:rsid w:val="48914E9D"/>
    <w:rsid w:val="48972A8C"/>
    <w:rsid w:val="489E352B"/>
    <w:rsid w:val="48A574B2"/>
    <w:rsid w:val="48A9682D"/>
    <w:rsid w:val="48AC75C7"/>
    <w:rsid w:val="48BB602C"/>
    <w:rsid w:val="48BC570D"/>
    <w:rsid w:val="48C01264"/>
    <w:rsid w:val="48C62259"/>
    <w:rsid w:val="48D01882"/>
    <w:rsid w:val="48D2752F"/>
    <w:rsid w:val="48D7295D"/>
    <w:rsid w:val="48E22AF1"/>
    <w:rsid w:val="48E30628"/>
    <w:rsid w:val="48EE3B00"/>
    <w:rsid w:val="48F51419"/>
    <w:rsid w:val="48FF35E1"/>
    <w:rsid w:val="490D3EA5"/>
    <w:rsid w:val="4913525D"/>
    <w:rsid w:val="491C48F1"/>
    <w:rsid w:val="491E369E"/>
    <w:rsid w:val="49282442"/>
    <w:rsid w:val="49491E19"/>
    <w:rsid w:val="494C1424"/>
    <w:rsid w:val="49566DD6"/>
    <w:rsid w:val="495823C4"/>
    <w:rsid w:val="495E2357"/>
    <w:rsid w:val="495F49B7"/>
    <w:rsid w:val="49620668"/>
    <w:rsid w:val="496608BF"/>
    <w:rsid w:val="496A70A9"/>
    <w:rsid w:val="496E4C4D"/>
    <w:rsid w:val="49800958"/>
    <w:rsid w:val="49883A71"/>
    <w:rsid w:val="498E6C8C"/>
    <w:rsid w:val="4995665F"/>
    <w:rsid w:val="499E6E55"/>
    <w:rsid w:val="49A477D7"/>
    <w:rsid w:val="49A550C4"/>
    <w:rsid w:val="49A7243A"/>
    <w:rsid w:val="49A86A54"/>
    <w:rsid w:val="49C37BF2"/>
    <w:rsid w:val="49C419B8"/>
    <w:rsid w:val="49C60F95"/>
    <w:rsid w:val="49CD6D4B"/>
    <w:rsid w:val="49D8627B"/>
    <w:rsid w:val="49DD230B"/>
    <w:rsid w:val="49DF34B7"/>
    <w:rsid w:val="49E163BC"/>
    <w:rsid w:val="49E76C94"/>
    <w:rsid w:val="49EC48CE"/>
    <w:rsid w:val="49FB3EFD"/>
    <w:rsid w:val="4A04127B"/>
    <w:rsid w:val="4A083B15"/>
    <w:rsid w:val="4A0C6D46"/>
    <w:rsid w:val="4A161DEF"/>
    <w:rsid w:val="4A17435C"/>
    <w:rsid w:val="4A1B3C76"/>
    <w:rsid w:val="4A2860B1"/>
    <w:rsid w:val="4A29700E"/>
    <w:rsid w:val="4A34240F"/>
    <w:rsid w:val="4A383D2C"/>
    <w:rsid w:val="4A504F59"/>
    <w:rsid w:val="4A5B6E81"/>
    <w:rsid w:val="4A5F0AB9"/>
    <w:rsid w:val="4A622B63"/>
    <w:rsid w:val="4A700F2F"/>
    <w:rsid w:val="4A7431FE"/>
    <w:rsid w:val="4A766CE5"/>
    <w:rsid w:val="4A774EFE"/>
    <w:rsid w:val="4A78133A"/>
    <w:rsid w:val="4A867829"/>
    <w:rsid w:val="4A883904"/>
    <w:rsid w:val="4A892DC7"/>
    <w:rsid w:val="4A8B0287"/>
    <w:rsid w:val="4A8F2DF9"/>
    <w:rsid w:val="4A902407"/>
    <w:rsid w:val="4A967136"/>
    <w:rsid w:val="4A9C1B84"/>
    <w:rsid w:val="4A9E605C"/>
    <w:rsid w:val="4AA44D13"/>
    <w:rsid w:val="4AAD6DEF"/>
    <w:rsid w:val="4AAE4D31"/>
    <w:rsid w:val="4AAF0DE9"/>
    <w:rsid w:val="4AB1437F"/>
    <w:rsid w:val="4AB855BA"/>
    <w:rsid w:val="4ABD7F3E"/>
    <w:rsid w:val="4AC009A6"/>
    <w:rsid w:val="4AC81ED5"/>
    <w:rsid w:val="4ACA45B2"/>
    <w:rsid w:val="4AD14749"/>
    <w:rsid w:val="4ADE4904"/>
    <w:rsid w:val="4AE62835"/>
    <w:rsid w:val="4AE748D7"/>
    <w:rsid w:val="4AEC6DB4"/>
    <w:rsid w:val="4AF17F13"/>
    <w:rsid w:val="4AF20EE3"/>
    <w:rsid w:val="4AFC53D4"/>
    <w:rsid w:val="4B0129B0"/>
    <w:rsid w:val="4B200E1C"/>
    <w:rsid w:val="4B243243"/>
    <w:rsid w:val="4B28017C"/>
    <w:rsid w:val="4B31548E"/>
    <w:rsid w:val="4B387ADE"/>
    <w:rsid w:val="4B3F327C"/>
    <w:rsid w:val="4B440357"/>
    <w:rsid w:val="4B455CD6"/>
    <w:rsid w:val="4B527610"/>
    <w:rsid w:val="4B540F2F"/>
    <w:rsid w:val="4B551666"/>
    <w:rsid w:val="4B631E44"/>
    <w:rsid w:val="4B6A6BC6"/>
    <w:rsid w:val="4B70121D"/>
    <w:rsid w:val="4B861B2E"/>
    <w:rsid w:val="4B875A02"/>
    <w:rsid w:val="4B8A759B"/>
    <w:rsid w:val="4B902C5F"/>
    <w:rsid w:val="4BA05E14"/>
    <w:rsid w:val="4BAD7517"/>
    <w:rsid w:val="4BAE66AF"/>
    <w:rsid w:val="4BB463BF"/>
    <w:rsid w:val="4BB65151"/>
    <w:rsid w:val="4BC27744"/>
    <w:rsid w:val="4BC438F0"/>
    <w:rsid w:val="4BC50084"/>
    <w:rsid w:val="4BC84807"/>
    <w:rsid w:val="4BD4679F"/>
    <w:rsid w:val="4BDA04E0"/>
    <w:rsid w:val="4BDF7AC5"/>
    <w:rsid w:val="4BE051BA"/>
    <w:rsid w:val="4BEF20FE"/>
    <w:rsid w:val="4C000F5A"/>
    <w:rsid w:val="4C075CA5"/>
    <w:rsid w:val="4C0B12E5"/>
    <w:rsid w:val="4C0F65D2"/>
    <w:rsid w:val="4C217DF1"/>
    <w:rsid w:val="4C2625EC"/>
    <w:rsid w:val="4C3174B6"/>
    <w:rsid w:val="4C334684"/>
    <w:rsid w:val="4C42689F"/>
    <w:rsid w:val="4C480588"/>
    <w:rsid w:val="4C50221E"/>
    <w:rsid w:val="4C5244A3"/>
    <w:rsid w:val="4C560279"/>
    <w:rsid w:val="4C5C01A2"/>
    <w:rsid w:val="4C6754A9"/>
    <w:rsid w:val="4C690463"/>
    <w:rsid w:val="4C8161AA"/>
    <w:rsid w:val="4C894831"/>
    <w:rsid w:val="4C8C3676"/>
    <w:rsid w:val="4C951846"/>
    <w:rsid w:val="4C970970"/>
    <w:rsid w:val="4CA369AE"/>
    <w:rsid w:val="4CA8419B"/>
    <w:rsid w:val="4CCC3D34"/>
    <w:rsid w:val="4CD15077"/>
    <w:rsid w:val="4CD373BE"/>
    <w:rsid w:val="4CDA53A8"/>
    <w:rsid w:val="4CDE7773"/>
    <w:rsid w:val="4CE018AB"/>
    <w:rsid w:val="4CEF46DC"/>
    <w:rsid w:val="4CEF665D"/>
    <w:rsid w:val="4CF0421F"/>
    <w:rsid w:val="4CF3535E"/>
    <w:rsid w:val="4CFA602F"/>
    <w:rsid w:val="4D015F8B"/>
    <w:rsid w:val="4D0D3DB1"/>
    <w:rsid w:val="4D0F461D"/>
    <w:rsid w:val="4D1800FA"/>
    <w:rsid w:val="4D180118"/>
    <w:rsid w:val="4D194A58"/>
    <w:rsid w:val="4D3A732E"/>
    <w:rsid w:val="4D3E3876"/>
    <w:rsid w:val="4D3F2DFE"/>
    <w:rsid w:val="4D40371D"/>
    <w:rsid w:val="4D484221"/>
    <w:rsid w:val="4D4D6C27"/>
    <w:rsid w:val="4D5B63C1"/>
    <w:rsid w:val="4D5B662F"/>
    <w:rsid w:val="4D5D27BC"/>
    <w:rsid w:val="4D5F0A2A"/>
    <w:rsid w:val="4D640A65"/>
    <w:rsid w:val="4D704D27"/>
    <w:rsid w:val="4D74169D"/>
    <w:rsid w:val="4D746460"/>
    <w:rsid w:val="4D766E47"/>
    <w:rsid w:val="4D7825FE"/>
    <w:rsid w:val="4D7A1AD5"/>
    <w:rsid w:val="4D852057"/>
    <w:rsid w:val="4D8802C3"/>
    <w:rsid w:val="4D880392"/>
    <w:rsid w:val="4D8A0134"/>
    <w:rsid w:val="4D905B55"/>
    <w:rsid w:val="4D976AC9"/>
    <w:rsid w:val="4DA81188"/>
    <w:rsid w:val="4DAA65A5"/>
    <w:rsid w:val="4DAF764A"/>
    <w:rsid w:val="4DB9057F"/>
    <w:rsid w:val="4DBB7E66"/>
    <w:rsid w:val="4DBC782C"/>
    <w:rsid w:val="4DBF3F74"/>
    <w:rsid w:val="4DC25532"/>
    <w:rsid w:val="4DC914E6"/>
    <w:rsid w:val="4DC96153"/>
    <w:rsid w:val="4DD72796"/>
    <w:rsid w:val="4DD74B91"/>
    <w:rsid w:val="4DD86487"/>
    <w:rsid w:val="4DE26400"/>
    <w:rsid w:val="4DE5537B"/>
    <w:rsid w:val="4DE95967"/>
    <w:rsid w:val="4DF35345"/>
    <w:rsid w:val="4E056F69"/>
    <w:rsid w:val="4E0F0E15"/>
    <w:rsid w:val="4E104CC8"/>
    <w:rsid w:val="4E115C79"/>
    <w:rsid w:val="4E1837CB"/>
    <w:rsid w:val="4E1C4231"/>
    <w:rsid w:val="4E24027C"/>
    <w:rsid w:val="4E306F30"/>
    <w:rsid w:val="4E332E08"/>
    <w:rsid w:val="4E4E19C5"/>
    <w:rsid w:val="4E511B79"/>
    <w:rsid w:val="4E5625CC"/>
    <w:rsid w:val="4E5A3578"/>
    <w:rsid w:val="4E5C5F00"/>
    <w:rsid w:val="4E5F0FF9"/>
    <w:rsid w:val="4E6530EE"/>
    <w:rsid w:val="4E6C4716"/>
    <w:rsid w:val="4E713307"/>
    <w:rsid w:val="4E72159F"/>
    <w:rsid w:val="4E721AE5"/>
    <w:rsid w:val="4E7420AE"/>
    <w:rsid w:val="4E7C5520"/>
    <w:rsid w:val="4E7E2709"/>
    <w:rsid w:val="4E8052A1"/>
    <w:rsid w:val="4E8063E1"/>
    <w:rsid w:val="4E857417"/>
    <w:rsid w:val="4E857A4A"/>
    <w:rsid w:val="4E870BBF"/>
    <w:rsid w:val="4E914656"/>
    <w:rsid w:val="4E95763D"/>
    <w:rsid w:val="4EA124A2"/>
    <w:rsid w:val="4EA311F2"/>
    <w:rsid w:val="4EA87893"/>
    <w:rsid w:val="4EAA2C76"/>
    <w:rsid w:val="4EAB61E9"/>
    <w:rsid w:val="4EAF2781"/>
    <w:rsid w:val="4ED27C32"/>
    <w:rsid w:val="4EDA6844"/>
    <w:rsid w:val="4EDD0C66"/>
    <w:rsid w:val="4EDD6DE5"/>
    <w:rsid w:val="4EEF3484"/>
    <w:rsid w:val="4EF00C9C"/>
    <w:rsid w:val="4EF2637F"/>
    <w:rsid w:val="4EF46BE0"/>
    <w:rsid w:val="4EF654CF"/>
    <w:rsid w:val="4F170310"/>
    <w:rsid w:val="4F28652B"/>
    <w:rsid w:val="4F325152"/>
    <w:rsid w:val="4F370950"/>
    <w:rsid w:val="4F414D95"/>
    <w:rsid w:val="4F4C2F4C"/>
    <w:rsid w:val="4F503DF2"/>
    <w:rsid w:val="4F546E3F"/>
    <w:rsid w:val="4F552A30"/>
    <w:rsid w:val="4F575954"/>
    <w:rsid w:val="4F6404BA"/>
    <w:rsid w:val="4F6409F7"/>
    <w:rsid w:val="4F6A134A"/>
    <w:rsid w:val="4F7A64A7"/>
    <w:rsid w:val="4F8234AF"/>
    <w:rsid w:val="4F8F4586"/>
    <w:rsid w:val="4F950CBB"/>
    <w:rsid w:val="4F95343A"/>
    <w:rsid w:val="4F9F3BD9"/>
    <w:rsid w:val="4F9F5323"/>
    <w:rsid w:val="4FA05C99"/>
    <w:rsid w:val="4FAC7481"/>
    <w:rsid w:val="4FC000F9"/>
    <w:rsid w:val="4FDB057C"/>
    <w:rsid w:val="4FDB4B86"/>
    <w:rsid w:val="4FFF00D9"/>
    <w:rsid w:val="50011B41"/>
    <w:rsid w:val="50055169"/>
    <w:rsid w:val="50062253"/>
    <w:rsid w:val="50102A97"/>
    <w:rsid w:val="50174EEF"/>
    <w:rsid w:val="501B02FE"/>
    <w:rsid w:val="501D23B2"/>
    <w:rsid w:val="501D2C8B"/>
    <w:rsid w:val="501E38B6"/>
    <w:rsid w:val="50240BAD"/>
    <w:rsid w:val="50277B72"/>
    <w:rsid w:val="502930B1"/>
    <w:rsid w:val="502F4E20"/>
    <w:rsid w:val="503033F8"/>
    <w:rsid w:val="50386CDB"/>
    <w:rsid w:val="503B00F7"/>
    <w:rsid w:val="50437527"/>
    <w:rsid w:val="504523F8"/>
    <w:rsid w:val="505002D7"/>
    <w:rsid w:val="50596158"/>
    <w:rsid w:val="505F365E"/>
    <w:rsid w:val="506C1AEA"/>
    <w:rsid w:val="506C74F4"/>
    <w:rsid w:val="507C5B32"/>
    <w:rsid w:val="50811CD0"/>
    <w:rsid w:val="508C555C"/>
    <w:rsid w:val="50924B8A"/>
    <w:rsid w:val="509340B5"/>
    <w:rsid w:val="50992874"/>
    <w:rsid w:val="509B1408"/>
    <w:rsid w:val="50AA76D8"/>
    <w:rsid w:val="50B02CD8"/>
    <w:rsid w:val="50B67BEA"/>
    <w:rsid w:val="50BF0251"/>
    <w:rsid w:val="50C7751C"/>
    <w:rsid w:val="50CC799B"/>
    <w:rsid w:val="50CD3536"/>
    <w:rsid w:val="50CE4A6E"/>
    <w:rsid w:val="50D463CF"/>
    <w:rsid w:val="50D52F38"/>
    <w:rsid w:val="50DC6056"/>
    <w:rsid w:val="50E40A0A"/>
    <w:rsid w:val="50EB5AC2"/>
    <w:rsid w:val="50EF7175"/>
    <w:rsid w:val="51087C3B"/>
    <w:rsid w:val="510F55C2"/>
    <w:rsid w:val="51133CF8"/>
    <w:rsid w:val="511446F0"/>
    <w:rsid w:val="5115318D"/>
    <w:rsid w:val="511D200F"/>
    <w:rsid w:val="512C6670"/>
    <w:rsid w:val="512D3DD3"/>
    <w:rsid w:val="51304B1F"/>
    <w:rsid w:val="5131365C"/>
    <w:rsid w:val="51322705"/>
    <w:rsid w:val="51345FF0"/>
    <w:rsid w:val="5149535C"/>
    <w:rsid w:val="514C638D"/>
    <w:rsid w:val="515B0EBA"/>
    <w:rsid w:val="516C0D78"/>
    <w:rsid w:val="51731414"/>
    <w:rsid w:val="5174702D"/>
    <w:rsid w:val="517A5667"/>
    <w:rsid w:val="51812F1A"/>
    <w:rsid w:val="5198421E"/>
    <w:rsid w:val="519C1717"/>
    <w:rsid w:val="51A707BB"/>
    <w:rsid w:val="51B70AD4"/>
    <w:rsid w:val="51B77EE6"/>
    <w:rsid w:val="51C02D5F"/>
    <w:rsid w:val="51C722C4"/>
    <w:rsid w:val="51CB62D6"/>
    <w:rsid w:val="51CD1682"/>
    <w:rsid w:val="51D069CA"/>
    <w:rsid w:val="51DC0866"/>
    <w:rsid w:val="51E146B9"/>
    <w:rsid w:val="51E25F7F"/>
    <w:rsid w:val="51E57B34"/>
    <w:rsid w:val="51EC11CF"/>
    <w:rsid w:val="51ED1152"/>
    <w:rsid w:val="51EE5C37"/>
    <w:rsid w:val="51F07DF9"/>
    <w:rsid w:val="51FD0C76"/>
    <w:rsid w:val="52026809"/>
    <w:rsid w:val="52036240"/>
    <w:rsid w:val="52050238"/>
    <w:rsid w:val="520E5A46"/>
    <w:rsid w:val="520F3287"/>
    <w:rsid w:val="520F63B8"/>
    <w:rsid w:val="52126AAD"/>
    <w:rsid w:val="52187877"/>
    <w:rsid w:val="521D2649"/>
    <w:rsid w:val="52247EF0"/>
    <w:rsid w:val="52263104"/>
    <w:rsid w:val="522E6E5A"/>
    <w:rsid w:val="522F5CFB"/>
    <w:rsid w:val="5233148C"/>
    <w:rsid w:val="523D2099"/>
    <w:rsid w:val="523F60B6"/>
    <w:rsid w:val="524306A2"/>
    <w:rsid w:val="524422E4"/>
    <w:rsid w:val="524870BF"/>
    <w:rsid w:val="5251776E"/>
    <w:rsid w:val="52565632"/>
    <w:rsid w:val="52587A70"/>
    <w:rsid w:val="525F576D"/>
    <w:rsid w:val="525F6684"/>
    <w:rsid w:val="52600F80"/>
    <w:rsid w:val="52601096"/>
    <w:rsid w:val="52621465"/>
    <w:rsid w:val="526453ED"/>
    <w:rsid w:val="526A7CB0"/>
    <w:rsid w:val="52773174"/>
    <w:rsid w:val="52871735"/>
    <w:rsid w:val="528E3959"/>
    <w:rsid w:val="52903A33"/>
    <w:rsid w:val="52903E47"/>
    <w:rsid w:val="529332BF"/>
    <w:rsid w:val="529342A3"/>
    <w:rsid w:val="529D4D54"/>
    <w:rsid w:val="52A45379"/>
    <w:rsid w:val="52A53CF8"/>
    <w:rsid w:val="52B0498C"/>
    <w:rsid w:val="52B30006"/>
    <w:rsid w:val="52B87F8B"/>
    <w:rsid w:val="52C15786"/>
    <w:rsid w:val="52CF7952"/>
    <w:rsid w:val="52D13596"/>
    <w:rsid w:val="52D77E4E"/>
    <w:rsid w:val="52D84807"/>
    <w:rsid w:val="52DF7015"/>
    <w:rsid w:val="52E46A97"/>
    <w:rsid w:val="52EA40CF"/>
    <w:rsid w:val="52F32B8F"/>
    <w:rsid w:val="52FC26FB"/>
    <w:rsid w:val="52FF001E"/>
    <w:rsid w:val="53087A4C"/>
    <w:rsid w:val="530931A0"/>
    <w:rsid w:val="5312638E"/>
    <w:rsid w:val="5319232C"/>
    <w:rsid w:val="531A5018"/>
    <w:rsid w:val="531D3FA4"/>
    <w:rsid w:val="53255D01"/>
    <w:rsid w:val="532D27DB"/>
    <w:rsid w:val="533620B1"/>
    <w:rsid w:val="533912A7"/>
    <w:rsid w:val="53470FC4"/>
    <w:rsid w:val="5352463E"/>
    <w:rsid w:val="53545294"/>
    <w:rsid w:val="53577923"/>
    <w:rsid w:val="53635826"/>
    <w:rsid w:val="536531C9"/>
    <w:rsid w:val="536A247E"/>
    <w:rsid w:val="536D69A4"/>
    <w:rsid w:val="536E4F38"/>
    <w:rsid w:val="537A0E76"/>
    <w:rsid w:val="537C3975"/>
    <w:rsid w:val="538444BE"/>
    <w:rsid w:val="538A64A8"/>
    <w:rsid w:val="53993656"/>
    <w:rsid w:val="53A6607E"/>
    <w:rsid w:val="53A92C8E"/>
    <w:rsid w:val="53AA4ACA"/>
    <w:rsid w:val="53AF2A9B"/>
    <w:rsid w:val="53B15561"/>
    <w:rsid w:val="53B85C4D"/>
    <w:rsid w:val="53BA09FD"/>
    <w:rsid w:val="53BA0C38"/>
    <w:rsid w:val="53BB5F50"/>
    <w:rsid w:val="53C01F9F"/>
    <w:rsid w:val="53C07BD9"/>
    <w:rsid w:val="53CA103C"/>
    <w:rsid w:val="53D02628"/>
    <w:rsid w:val="53E20A7C"/>
    <w:rsid w:val="53E5334E"/>
    <w:rsid w:val="54046A17"/>
    <w:rsid w:val="54112460"/>
    <w:rsid w:val="54173B71"/>
    <w:rsid w:val="5426136B"/>
    <w:rsid w:val="542E0EFA"/>
    <w:rsid w:val="543036BD"/>
    <w:rsid w:val="54320ECA"/>
    <w:rsid w:val="543331B3"/>
    <w:rsid w:val="54353C2A"/>
    <w:rsid w:val="544B43A3"/>
    <w:rsid w:val="54565E1E"/>
    <w:rsid w:val="546459F4"/>
    <w:rsid w:val="5473655E"/>
    <w:rsid w:val="5479599F"/>
    <w:rsid w:val="5482162A"/>
    <w:rsid w:val="5488380A"/>
    <w:rsid w:val="548B1F9A"/>
    <w:rsid w:val="5491799E"/>
    <w:rsid w:val="54930B61"/>
    <w:rsid w:val="549A1209"/>
    <w:rsid w:val="549D713E"/>
    <w:rsid w:val="54A0102E"/>
    <w:rsid w:val="54A1719F"/>
    <w:rsid w:val="54A81B3D"/>
    <w:rsid w:val="54AD41F0"/>
    <w:rsid w:val="54B33C2D"/>
    <w:rsid w:val="54B61D6C"/>
    <w:rsid w:val="54B80FD1"/>
    <w:rsid w:val="54B9616D"/>
    <w:rsid w:val="54BE7B53"/>
    <w:rsid w:val="54D507B5"/>
    <w:rsid w:val="54D65B7A"/>
    <w:rsid w:val="54D720AB"/>
    <w:rsid w:val="54DF18C6"/>
    <w:rsid w:val="54E423C0"/>
    <w:rsid w:val="54E51C12"/>
    <w:rsid w:val="54E54BD5"/>
    <w:rsid w:val="54F03EA0"/>
    <w:rsid w:val="54FA16E2"/>
    <w:rsid w:val="55036E66"/>
    <w:rsid w:val="55057CEC"/>
    <w:rsid w:val="550C0AC5"/>
    <w:rsid w:val="55146861"/>
    <w:rsid w:val="5517797A"/>
    <w:rsid w:val="5519043F"/>
    <w:rsid w:val="551C616E"/>
    <w:rsid w:val="551E08BC"/>
    <w:rsid w:val="551E4B1F"/>
    <w:rsid w:val="55247F14"/>
    <w:rsid w:val="553252FE"/>
    <w:rsid w:val="553919FF"/>
    <w:rsid w:val="5544711D"/>
    <w:rsid w:val="55555B8A"/>
    <w:rsid w:val="557432A1"/>
    <w:rsid w:val="55792D2B"/>
    <w:rsid w:val="55871CB3"/>
    <w:rsid w:val="558B545B"/>
    <w:rsid w:val="55965DE4"/>
    <w:rsid w:val="55A15D85"/>
    <w:rsid w:val="55A44D6F"/>
    <w:rsid w:val="55A66BD7"/>
    <w:rsid w:val="55AA631B"/>
    <w:rsid w:val="55BD6B9C"/>
    <w:rsid w:val="55C000B3"/>
    <w:rsid w:val="55D7299A"/>
    <w:rsid w:val="55D86EC8"/>
    <w:rsid w:val="55E61060"/>
    <w:rsid w:val="55E67881"/>
    <w:rsid w:val="55E97CED"/>
    <w:rsid w:val="56031BE8"/>
    <w:rsid w:val="56077D33"/>
    <w:rsid w:val="561E0AE7"/>
    <w:rsid w:val="562411A1"/>
    <w:rsid w:val="56354B29"/>
    <w:rsid w:val="563766A3"/>
    <w:rsid w:val="56384B4C"/>
    <w:rsid w:val="564819F7"/>
    <w:rsid w:val="564965D9"/>
    <w:rsid w:val="5666560D"/>
    <w:rsid w:val="56761021"/>
    <w:rsid w:val="567B67E7"/>
    <w:rsid w:val="567D2A3C"/>
    <w:rsid w:val="5682015E"/>
    <w:rsid w:val="568B3358"/>
    <w:rsid w:val="568F57AD"/>
    <w:rsid w:val="56937FB7"/>
    <w:rsid w:val="56AE2A8A"/>
    <w:rsid w:val="56B57596"/>
    <w:rsid w:val="56C03F8A"/>
    <w:rsid w:val="56C47A4F"/>
    <w:rsid w:val="56C72160"/>
    <w:rsid w:val="56CC2E6F"/>
    <w:rsid w:val="56D50C7A"/>
    <w:rsid w:val="56D60F48"/>
    <w:rsid w:val="56D62698"/>
    <w:rsid w:val="56EB4A33"/>
    <w:rsid w:val="57061EC2"/>
    <w:rsid w:val="570D50C9"/>
    <w:rsid w:val="570E7602"/>
    <w:rsid w:val="5712660D"/>
    <w:rsid w:val="5715477E"/>
    <w:rsid w:val="571C7971"/>
    <w:rsid w:val="572964BC"/>
    <w:rsid w:val="573146AD"/>
    <w:rsid w:val="57320AEB"/>
    <w:rsid w:val="573F6BA6"/>
    <w:rsid w:val="5740707F"/>
    <w:rsid w:val="5746697D"/>
    <w:rsid w:val="57500A34"/>
    <w:rsid w:val="57515895"/>
    <w:rsid w:val="57543CBE"/>
    <w:rsid w:val="57590840"/>
    <w:rsid w:val="576215B2"/>
    <w:rsid w:val="57670777"/>
    <w:rsid w:val="57670F42"/>
    <w:rsid w:val="576D5F58"/>
    <w:rsid w:val="57785AF5"/>
    <w:rsid w:val="577A74E4"/>
    <w:rsid w:val="578448DA"/>
    <w:rsid w:val="579C2FD0"/>
    <w:rsid w:val="57A92A8B"/>
    <w:rsid w:val="57AE69D4"/>
    <w:rsid w:val="57AF2BE3"/>
    <w:rsid w:val="57BC1441"/>
    <w:rsid w:val="57C01482"/>
    <w:rsid w:val="57C05DDE"/>
    <w:rsid w:val="57C35148"/>
    <w:rsid w:val="57C70550"/>
    <w:rsid w:val="57CB7AD4"/>
    <w:rsid w:val="57CC0AF4"/>
    <w:rsid w:val="57CE0A69"/>
    <w:rsid w:val="57EA5BF0"/>
    <w:rsid w:val="57FF67B4"/>
    <w:rsid w:val="58012650"/>
    <w:rsid w:val="58036F7C"/>
    <w:rsid w:val="58050EFA"/>
    <w:rsid w:val="58073C38"/>
    <w:rsid w:val="580C08BA"/>
    <w:rsid w:val="580C6822"/>
    <w:rsid w:val="581E12FB"/>
    <w:rsid w:val="58393CF5"/>
    <w:rsid w:val="583A2702"/>
    <w:rsid w:val="58554E2C"/>
    <w:rsid w:val="5866518A"/>
    <w:rsid w:val="58670442"/>
    <w:rsid w:val="586F68D8"/>
    <w:rsid w:val="58715DFB"/>
    <w:rsid w:val="5872386C"/>
    <w:rsid w:val="58904842"/>
    <w:rsid w:val="5892420C"/>
    <w:rsid w:val="5892483F"/>
    <w:rsid w:val="5896683D"/>
    <w:rsid w:val="58967072"/>
    <w:rsid w:val="589D19EC"/>
    <w:rsid w:val="589D3468"/>
    <w:rsid w:val="58A20182"/>
    <w:rsid w:val="58AC0247"/>
    <w:rsid w:val="58B42F04"/>
    <w:rsid w:val="58B91989"/>
    <w:rsid w:val="58BD093A"/>
    <w:rsid w:val="58BD797F"/>
    <w:rsid w:val="58C32F78"/>
    <w:rsid w:val="58C34F2A"/>
    <w:rsid w:val="58C54632"/>
    <w:rsid w:val="58C75534"/>
    <w:rsid w:val="58D14649"/>
    <w:rsid w:val="58EA3A04"/>
    <w:rsid w:val="58EC0F0D"/>
    <w:rsid w:val="58EC574D"/>
    <w:rsid w:val="58FC6059"/>
    <w:rsid w:val="59190472"/>
    <w:rsid w:val="591A020B"/>
    <w:rsid w:val="591C6CE7"/>
    <w:rsid w:val="59237080"/>
    <w:rsid w:val="59255E28"/>
    <w:rsid w:val="59263AB1"/>
    <w:rsid w:val="59282057"/>
    <w:rsid w:val="592E2108"/>
    <w:rsid w:val="59300025"/>
    <w:rsid w:val="5936186D"/>
    <w:rsid w:val="593A70BE"/>
    <w:rsid w:val="5940398B"/>
    <w:rsid w:val="59447AA3"/>
    <w:rsid w:val="59497DFF"/>
    <w:rsid w:val="594B35E0"/>
    <w:rsid w:val="594D035C"/>
    <w:rsid w:val="595136A5"/>
    <w:rsid w:val="595803DB"/>
    <w:rsid w:val="595A2253"/>
    <w:rsid w:val="59636BC7"/>
    <w:rsid w:val="59647239"/>
    <w:rsid w:val="59722EFC"/>
    <w:rsid w:val="59806CF2"/>
    <w:rsid w:val="59810294"/>
    <w:rsid w:val="59817042"/>
    <w:rsid w:val="598A3B08"/>
    <w:rsid w:val="598E37F0"/>
    <w:rsid w:val="5999715F"/>
    <w:rsid w:val="599A6DD2"/>
    <w:rsid w:val="59A0032F"/>
    <w:rsid w:val="59A51057"/>
    <w:rsid w:val="59A7436D"/>
    <w:rsid w:val="59A94DFD"/>
    <w:rsid w:val="59AA0E18"/>
    <w:rsid w:val="59AE79AF"/>
    <w:rsid w:val="59B02524"/>
    <w:rsid w:val="59B07674"/>
    <w:rsid w:val="59B270C9"/>
    <w:rsid w:val="59B35622"/>
    <w:rsid w:val="59B63E96"/>
    <w:rsid w:val="59BA43AF"/>
    <w:rsid w:val="59BA780D"/>
    <w:rsid w:val="59C5692B"/>
    <w:rsid w:val="59D14CEE"/>
    <w:rsid w:val="59D603AE"/>
    <w:rsid w:val="59DC6A16"/>
    <w:rsid w:val="59DE35CB"/>
    <w:rsid w:val="59E036E8"/>
    <w:rsid w:val="59E42720"/>
    <w:rsid w:val="59E517A1"/>
    <w:rsid w:val="59F252CC"/>
    <w:rsid w:val="59F927EA"/>
    <w:rsid w:val="5A076F34"/>
    <w:rsid w:val="5A0D1B0D"/>
    <w:rsid w:val="5A107EDD"/>
    <w:rsid w:val="5A154BC0"/>
    <w:rsid w:val="5A156247"/>
    <w:rsid w:val="5A1563BA"/>
    <w:rsid w:val="5A224225"/>
    <w:rsid w:val="5A231DD1"/>
    <w:rsid w:val="5A2942D2"/>
    <w:rsid w:val="5A2A5F0B"/>
    <w:rsid w:val="5A306247"/>
    <w:rsid w:val="5A3E1CCF"/>
    <w:rsid w:val="5A425FC7"/>
    <w:rsid w:val="5A447A0C"/>
    <w:rsid w:val="5A4B1DFF"/>
    <w:rsid w:val="5A563CCB"/>
    <w:rsid w:val="5A5F4D0C"/>
    <w:rsid w:val="5A630B69"/>
    <w:rsid w:val="5A6533CE"/>
    <w:rsid w:val="5A6F6F88"/>
    <w:rsid w:val="5A7B1AF6"/>
    <w:rsid w:val="5A7B5A1F"/>
    <w:rsid w:val="5A7E132C"/>
    <w:rsid w:val="5A7F69AC"/>
    <w:rsid w:val="5A8074E0"/>
    <w:rsid w:val="5A9A6A39"/>
    <w:rsid w:val="5A9B1883"/>
    <w:rsid w:val="5AA817DB"/>
    <w:rsid w:val="5AC12E78"/>
    <w:rsid w:val="5AC503BD"/>
    <w:rsid w:val="5ACB4F06"/>
    <w:rsid w:val="5ACB612E"/>
    <w:rsid w:val="5AD244F5"/>
    <w:rsid w:val="5AD530C4"/>
    <w:rsid w:val="5AE66966"/>
    <w:rsid w:val="5AEA43ED"/>
    <w:rsid w:val="5AF115A5"/>
    <w:rsid w:val="5AF1351B"/>
    <w:rsid w:val="5AF870C2"/>
    <w:rsid w:val="5AFA3ECC"/>
    <w:rsid w:val="5B007AAD"/>
    <w:rsid w:val="5B017AFF"/>
    <w:rsid w:val="5B0509B6"/>
    <w:rsid w:val="5B056CA0"/>
    <w:rsid w:val="5B086851"/>
    <w:rsid w:val="5B1B615C"/>
    <w:rsid w:val="5B1D03C1"/>
    <w:rsid w:val="5B1D655C"/>
    <w:rsid w:val="5B252623"/>
    <w:rsid w:val="5B342AEC"/>
    <w:rsid w:val="5B436C72"/>
    <w:rsid w:val="5B441F99"/>
    <w:rsid w:val="5B4622A5"/>
    <w:rsid w:val="5B467F96"/>
    <w:rsid w:val="5B512FEE"/>
    <w:rsid w:val="5B575704"/>
    <w:rsid w:val="5B582339"/>
    <w:rsid w:val="5B5D66BE"/>
    <w:rsid w:val="5B6D27D0"/>
    <w:rsid w:val="5B75248C"/>
    <w:rsid w:val="5B8543B9"/>
    <w:rsid w:val="5B882758"/>
    <w:rsid w:val="5B8A0AE7"/>
    <w:rsid w:val="5B8C7B7A"/>
    <w:rsid w:val="5BA554DE"/>
    <w:rsid w:val="5BA76C00"/>
    <w:rsid w:val="5BAC6CA1"/>
    <w:rsid w:val="5BB31CAB"/>
    <w:rsid w:val="5BB40849"/>
    <w:rsid w:val="5BBC065C"/>
    <w:rsid w:val="5BC32E04"/>
    <w:rsid w:val="5BC34B5B"/>
    <w:rsid w:val="5BD60238"/>
    <w:rsid w:val="5BDD443B"/>
    <w:rsid w:val="5BE774F0"/>
    <w:rsid w:val="5BE77A41"/>
    <w:rsid w:val="5BF100D9"/>
    <w:rsid w:val="5BFA0DD7"/>
    <w:rsid w:val="5BFE2B5F"/>
    <w:rsid w:val="5C0E260A"/>
    <w:rsid w:val="5C130817"/>
    <w:rsid w:val="5C195E63"/>
    <w:rsid w:val="5C1B2CEA"/>
    <w:rsid w:val="5C1F3B18"/>
    <w:rsid w:val="5C2757F8"/>
    <w:rsid w:val="5C396284"/>
    <w:rsid w:val="5C450967"/>
    <w:rsid w:val="5C4557C8"/>
    <w:rsid w:val="5C4A0020"/>
    <w:rsid w:val="5C551CB3"/>
    <w:rsid w:val="5C553B20"/>
    <w:rsid w:val="5C644124"/>
    <w:rsid w:val="5C650443"/>
    <w:rsid w:val="5C665080"/>
    <w:rsid w:val="5C7169C1"/>
    <w:rsid w:val="5C726B3B"/>
    <w:rsid w:val="5C7773B7"/>
    <w:rsid w:val="5C7D4827"/>
    <w:rsid w:val="5C8257C6"/>
    <w:rsid w:val="5C8465E2"/>
    <w:rsid w:val="5C8E0C28"/>
    <w:rsid w:val="5C986055"/>
    <w:rsid w:val="5C9D2D25"/>
    <w:rsid w:val="5CAC2B0D"/>
    <w:rsid w:val="5CAF211D"/>
    <w:rsid w:val="5CB33414"/>
    <w:rsid w:val="5CBB1D04"/>
    <w:rsid w:val="5CC93994"/>
    <w:rsid w:val="5CD43DA6"/>
    <w:rsid w:val="5CD777B3"/>
    <w:rsid w:val="5CD87247"/>
    <w:rsid w:val="5CDA5F7A"/>
    <w:rsid w:val="5CDB696B"/>
    <w:rsid w:val="5CE73307"/>
    <w:rsid w:val="5CEA1748"/>
    <w:rsid w:val="5CEC2894"/>
    <w:rsid w:val="5CEC65D0"/>
    <w:rsid w:val="5CFD3C7E"/>
    <w:rsid w:val="5CFE049A"/>
    <w:rsid w:val="5D09561E"/>
    <w:rsid w:val="5D0F6A89"/>
    <w:rsid w:val="5D132987"/>
    <w:rsid w:val="5D16768D"/>
    <w:rsid w:val="5D2C2E80"/>
    <w:rsid w:val="5D2E4B74"/>
    <w:rsid w:val="5D3C170C"/>
    <w:rsid w:val="5D3F69E0"/>
    <w:rsid w:val="5D431EBB"/>
    <w:rsid w:val="5D456352"/>
    <w:rsid w:val="5D4777B6"/>
    <w:rsid w:val="5D480716"/>
    <w:rsid w:val="5D512E8D"/>
    <w:rsid w:val="5D523154"/>
    <w:rsid w:val="5D527897"/>
    <w:rsid w:val="5D60147A"/>
    <w:rsid w:val="5D63138F"/>
    <w:rsid w:val="5D690F9F"/>
    <w:rsid w:val="5D6E3ABA"/>
    <w:rsid w:val="5D72456A"/>
    <w:rsid w:val="5D731A38"/>
    <w:rsid w:val="5D7B6348"/>
    <w:rsid w:val="5D8246FE"/>
    <w:rsid w:val="5D8401C7"/>
    <w:rsid w:val="5D873232"/>
    <w:rsid w:val="5D914853"/>
    <w:rsid w:val="5D91684E"/>
    <w:rsid w:val="5D955BA4"/>
    <w:rsid w:val="5DA630B2"/>
    <w:rsid w:val="5DA72265"/>
    <w:rsid w:val="5DAA15A4"/>
    <w:rsid w:val="5DAE302B"/>
    <w:rsid w:val="5DB0080E"/>
    <w:rsid w:val="5DB55E7E"/>
    <w:rsid w:val="5DB94C94"/>
    <w:rsid w:val="5DBF6F1F"/>
    <w:rsid w:val="5DBF7961"/>
    <w:rsid w:val="5DC01A59"/>
    <w:rsid w:val="5DD81DAC"/>
    <w:rsid w:val="5DD83A64"/>
    <w:rsid w:val="5DDB49FD"/>
    <w:rsid w:val="5DE16430"/>
    <w:rsid w:val="5DE77E42"/>
    <w:rsid w:val="5DE95459"/>
    <w:rsid w:val="5DF339EE"/>
    <w:rsid w:val="5DF44763"/>
    <w:rsid w:val="5DFB0B98"/>
    <w:rsid w:val="5E005E4E"/>
    <w:rsid w:val="5E060188"/>
    <w:rsid w:val="5E103941"/>
    <w:rsid w:val="5E1123E3"/>
    <w:rsid w:val="5E15617D"/>
    <w:rsid w:val="5E1A351C"/>
    <w:rsid w:val="5E1D3655"/>
    <w:rsid w:val="5E1E634A"/>
    <w:rsid w:val="5E2A0060"/>
    <w:rsid w:val="5E3939F1"/>
    <w:rsid w:val="5E3D2FE6"/>
    <w:rsid w:val="5E40133D"/>
    <w:rsid w:val="5E412A84"/>
    <w:rsid w:val="5E424846"/>
    <w:rsid w:val="5E4836F1"/>
    <w:rsid w:val="5E497555"/>
    <w:rsid w:val="5E4C1E59"/>
    <w:rsid w:val="5E5274E7"/>
    <w:rsid w:val="5E533F3B"/>
    <w:rsid w:val="5E5D35F2"/>
    <w:rsid w:val="5E6D7404"/>
    <w:rsid w:val="5E7B1D09"/>
    <w:rsid w:val="5E8A4237"/>
    <w:rsid w:val="5E8E54AD"/>
    <w:rsid w:val="5E957AB9"/>
    <w:rsid w:val="5E9625B7"/>
    <w:rsid w:val="5E970F0C"/>
    <w:rsid w:val="5EA919A8"/>
    <w:rsid w:val="5EAE2C5C"/>
    <w:rsid w:val="5EAE3F7E"/>
    <w:rsid w:val="5EB23C92"/>
    <w:rsid w:val="5EB91B37"/>
    <w:rsid w:val="5EC53938"/>
    <w:rsid w:val="5EC72B9F"/>
    <w:rsid w:val="5ED239C7"/>
    <w:rsid w:val="5ED943A6"/>
    <w:rsid w:val="5EDE3A08"/>
    <w:rsid w:val="5EE40F5A"/>
    <w:rsid w:val="5EE44CB2"/>
    <w:rsid w:val="5EE47B10"/>
    <w:rsid w:val="5EEF0974"/>
    <w:rsid w:val="5EF164A2"/>
    <w:rsid w:val="5EF47DDD"/>
    <w:rsid w:val="5EF67FC9"/>
    <w:rsid w:val="5F0F156D"/>
    <w:rsid w:val="5F115AFB"/>
    <w:rsid w:val="5F140BAC"/>
    <w:rsid w:val="5F1D6A87"/>
    <w:rsid w:val="5F21253F"/>
    <w:rsid w:val="5F2D245E"/>
    <w:rsid w:val="5F3670D4"/>
    <w:rsid w:val="5F3A4D6E"/>
    <w:rsid w:val="5F402374"/>
    <w:rsid w:val="5F411102"/>
    <w:rsid w:val="5F414675"/>
    <w:rsid w:val="5F5908E9"/>
    <w:rsid w:val="5F5B2279"/>
    <w:rsid w:val="5F5C1F16"/>
    <w:rsid w:val="5F5D65DE"/>
    <w:rsid w:val="5F661469"/>
    <w:rsid w:val="5F6F3CDF"/>
    <w:rsid w:val="5F743F32"/>
    <w:rsid w:val="5F7E109E"/>
    <w:rsid w:val="5F831D17"/>
    <w:rsid w:val="5F874F9D"/>
    <w:rsid w:val="5F951757"/>
    <w:rsid w:val="5F9F7904"/>
    <w:rsid w:val="5FA85A9C"/>
    <w:rsid w:val="5FB40504"/>
    <w:rsid w:val="5FBE0E83"/>
    <w:rsid w:val="5FBE445C"/>
    <w:rsid w:val="5FC359D3"/>
    <w:rsid w:val="5FD90579"/>
    <w:rsid w:val="5FDB60E8"/>
    <w:rsid w:val="5FDD5777"/>
    <w:rsid w:val="5FE22B56"/>
    <w:rsid w:val="5FED646B"/>
    <w:rsid w:val="5FEF049B"/>
    <w:rsid w:val="5FFD263E"/>
    <w:rsid w:val="60020171"/>
    <w:rsid w:val="600C221C"/>
    <w:rsid w:val="600D3345"/>
    <w:rsid w:val="6011671B"/>
    <w:rsid w:val="60155802"/>
    <w:rsid w:val="60187600"/>
    <w:rsid w:val="601B0FB1"/>
    <w:rsid w:val="60270F85"/>
    <w:rsid w:val="602B4C08"/>
    <w:rsid w:val="60396899"/>
    <w:rsid w:val="60436913"/>
    <w:rsid w:val="60473471"/>
    <w:rsid w:val="604D230F"/>
    <w:rsid w:val="604F0F66"/>
    <w:rsid w:val="60525E75"/>
    <w:rsid w:val="60793FCF"/>
    <w:rsid w:val="60797739"/>
    <w:rsid w:val="607A61BF"/>
    <w:rsid w:val="607A7C70"/>
    <w:rsid w:val="60845E69"/>
    <w:rsid w:val="608957C1"/>
    <w:rsid w:val="608D7B43"/>
    <w:rsid w:val="6095453A"/>
    <w:rsid w:val="6098282D"/>
    <w:rsid w:val="609A0DC7"/>
    <w:rsid w:val="609C05CF"/>
    <w:rsid w:val="60A05C82"/>
    <w:rsid w:val="60A60CEC"/>
    <w:rsid w:val="60A65F77"/>
    <w:rsid w:val="60B022DB"/>
    <w:rsid w:val="60B579D6"/>
    <w:rsid w:val="60B77977"/>
    <w:rsid w:val="60BF6D5F"/>
    <w:rsid w:val="60C14DAB"/>
    <w:rsid w:val="60C43A1F"/>
    <w:rsid w:val="60C63756"/>
    <w:rsid w:val="60C823FE"/>
    <w:rsid w:val="60D241AE"/>
    <w:rsid w:val="60E40D6D"/>
    <w:rsid w:val="60F179ED"/>
    <w:rsid w:val="60F820A7"/>
    <w:rsid w:val="60FB41C0"/>
    <w:rsid w:val="61047CC8"/>
    <w:rsid w:val="61176351"/>
    <w:rsid w:val="611869A0"/>
    <w:rsid w:val="61206AE5"/>
    <w:rsid w:val="612109AE"/>
    <w:rsid w:val="61270D77"/>
    <w:rsid w:val="61332E1C"/>
    <w:rsid w:val="614731BC"/>
    <w:rsid w:val="61524C9F"/>
    <w:rsid w:val="61582E05"/>
    <w:rsid w:val="615B4766"/>
    <w:rsid w:val="615F6BDE"/>
    <w:rsid w:val="616D729D"/>
    <w:rsid w:val="61711B79"/>
    <w:rsid w:val="617B1B82"/>
    <w:rsid w:val="617C39FB"/>
    <w:rsid w:val="617D6132"/>
    <w:rsid w:val="618213DA"/>
    <w:rsid w:val="6183594A"/>
    <w:rsid w:val="618D0A97"/>
    <w:rsid w:val="619705CA"/>
    <w:rsid w:val="619C6140"/>
    <w:rsid w:val="619F57FB"/>
    <w:rsid w:val="61A333EB"/>
    <w:rsid w:val="61A44975"/>
    <w:rsid w:val="61A70A44"/>
    <w:rsid w:val="61B0610A"/>
    <w:rsid w:val="61B23B7B"/>
    <w:rsid w:val="61B821A1"/>
    <w:rsid w:val="61C2029B"/>
    <w:rsid w:val="61CC74A0"/>
    <w:rsid w:val="61D225AC"/>
    <w:rsid w:val="61D52977"/>
    <w:rsid w:val="61D52A4A"/>
    <w:rsid w:val="61D77A1D"/>
    <w:rsid w:val="61E1256F"/>
    <w:rsid w:val="61EB46BC"/>
    <w:rsid w:val="61EF3A53"/>
    <w:rsid w:val="61EF3B85"/>
    <w:rsid w:val="620502FC"/>
    <w:rsid w:val="620F701E"/>
    <w:rsid w:val="621F36D8"/>
    <w:rsid w:val="6221161B"/>
    <w:rsid w:val="622A1E5E"/>
    <w:rsid w:val="62371A88"/>
    <w:rsid w:val="623D6C75"/>
    <w:rsid w:val="62493987"/>
    <w:rsid w:val="624964C9"/>
    <w:rsid w:val="624B255E"/>
    <w:rsid w:val="624D4592"/>
    <w:rsid w:val="624F5435"/>
    <w:rsid w:val="62500C3E"/>
    <w:rsid w:val="62516702"/>
    <w:rsid w:val="62570949"/>
    <w:rsid w:val="62576A9A"/>
    <w:rsid w:val="625D6CA6"/>
    <w:rsid w:val="626527E2"/>
    <w:rsid w:val="62653E02"/>
    <w:rsid w:val="626577C2"/>
    <w:rsid w:val="62660C12"/>
    <w:rsid w:val="62670BDC"/>
    <w:rsid w:val="626D6EC3"/>
    <w:rsid w:val="627737F8"/>
    <w:rsid w:val="628C00C3"/>
    <w:rsid w:val="628D40D4"/>
    <w:rsid w:val="62A01F06"/>
    <w:rsid w:val="62A11A49"/>
    <w:rsid w:val="62AC5377"/>
    <w:rsid w:val="62B03BE8"/>
    <w:rsid w:val="62BB67EE"/>
    <w:rsid w:val="62C9239D"/>
    <w:rsid w:val="62D13260"/>
    <w:rsid w:val="62F45ADB"/>
    <w:rsid w:val="62F670C9"/>
    <w:rsid w:val="630466EC"/>
    <w:rsid w:val="630D2BF9"/>
    <w:rsid w:val="63102F02"/>
    <w:rsid w:val="631373F4"/>
    <w:rsid w:val="6326023B"/>
    <w:rsid w:val="6328688D"/>
    <w:rsid w:val="632A73FD"/>
    <w:rsid w:val="632D0E12"/>
    <w:rsid w:val="63320E22"/>
    <w:rsid w:val="633B3988"/>
    <w:rsid w:val="63453672"/>
    <w:rsid w:val="634634EB"/>
    <w:rsid w:val="63467808"/>
    <w:rsid w:val="634C239A"/>
    <w:rsid w:val="635F3478"/>
    <w:rsid w:val="636228F5"/>
    <w:rsid w:val="636350E6"/>
    <w:rsid w:val="63761B4B"/>
    <w:rsid w:val="63787054"/>
    <w:rsid w:val="63791777"/>
    <w:rsid w:val="637E38FE"/>
    <w:rsid w:val="63835F51"/>
    <w:rsid w:val="638C145D"/>
    <w:rsid w:val="638C79DF"/>
    <w:rsid w:val="6393169C"/>
    <w:rsid w:val="63A34F92"/>
    <w:rsid w:val="63B3575D"/>
    <w:rsid w:val="63B7671F"/>
    <w:rsid w:val="63B90544"/>
    <w:rsid w:val="63BE2696"/>
    <w:rsid w:val="63DE76D3"/>
    <w:rsid w:val="63E21F98"/>
    <w:rsid w:val="63EB7D5C"/>
    <w:rsid w:val="63F95706"/>
    <w:rsid w:val="640C2E8A"/>
    <w:rsid w:val="640E2208"/>
    <w:rsid w:val="64101A12"/>
    <w:rsid w:val="641267EE"/>
    <w:rsid w:val="64154EE6"/>
    <w:rsid w:val="641F6285"/>
    <w:rsid w:val="642561C0"/>
    <w:rsid w:val="642846A1"/>
    <w:rsid w:val="642C19CE"/>
    <w:rsid w:val="64436351"/>
    <w:rsid w:val="644427E2"/>
    <w:rsid w:val="644D3BF7"/>
    <w:rsid w:val="64505B44"/>
    <w:rsid w:val="64533280"/>
    <w:rsid w:val="645D7F81"/>
    <w:rsid w:val="64633ACF"/>
    <w:rsid w:val="646931B3"/>
    <w:rsid w:val="64705654"/>
    <w:rsid w:val="647228EF"/>
    <w:rsid w:val="648138D0"/>
    <w:rsid w:val="6490575D"/>
    <w:rsid w:val="649067E4"/>
    <w:rsid w:val="649E3BD1"/>
    <w:rsid w:val="64A12BAD"/>
    <w:rsid w:val="64A16257"/>
    <w:rsid w:val="64A62AE5"/>
    <w:rsid w:val="64AB425E"/>
    <w:rsid w:val="64BE7296"/>
    <w:rsid w:val="64C057EE"/>
    <w:rsid w:val="64C80088"/>
    <w:rsid w:val="64CA5D71"/>
    <w:rsid w:val="64CF29CA"/>
    <w:rsid w:val="64D34088"/>
    <w:rsid w:val="64DB3ABE"/>
    <w:rsid w:val="64E82A0E"/>
    <w:rsid w:val="64EE7324"/>
    <w:rsid w:val="6501435C"/>
    <w:rsid w:val="65036B17"/>
    <w:rsid w:val="6507154E"/>
    <w:rsid w:val="650A0216"/>
    <w:rsid w:val="650B3087"/>
    <w:rsid w:val="650E76BC"/>
    <w:rsid w:val="650F39B8"/>
    <w:rsid w:val="65114B8C"/>
    <w:rsid w:val="651169C8"/>
    <w:rsid w:val="651559BD"/>
    <w:rsid w:val="65227067"/>
    <w:rsid w:val="652311CD"/>
    <w:rsid w:val="652370AC"/>
    <w:rsid w:val="65292086"/>
    <w:rsid w:val="653F0044"/>
    <w:rsid w:val="65433858"/>
    <w:rsid w:val="6554718C"/>
    <w:rsid w:val="655B42DD"/>
    <w:rsid w:val="655E33B2"/>
    <w:rsid w:val="655E4B25"/>
    <w:rsid w:val="65674633"/>
    <w:rsid w:val="65762AAC"/>
    <w:rsid w:val="657A4537"/>
    <w:rsid w:val="657E2483"/>
    <w:rsid w:val="65844836"/>
    <w:rsid w:val="658727A8"/>
    <w:rsid w:val="658847BF"/>
    <w:rsid w:val="65922BD8"/>
    <w:rsid w:val="65946201"/>
    <w:rsid w:val="65994EA0"/>
    <w:rsid w:val="659B6DDF"/>
    <w:rsid w:val="659E27BD"/>
    <w:rsid w:val="65A54B8C"/>
    <w:rsid w:val="65AC4A4C"/>
    <w:rsid w:val="65B24B2F"/>
    <w:rsid w:val="65B35CB7"/>
    <w:rsid w:val="65D721F2"/>
    <w:rsid w:val="65D975FF"/>
    <w:rsid w:val="65DB4C93"/>
    <w:rsid w:val="660160D6"/>
    <w:rsid w:val="66027BF1"/>
    <w:rsid w:val="660856BD"/>
    <w:rsid w:val="660E4274"/>
    <w:rsid w:val="66156885"/>
    <w:rsid w:val="661E0BF1"/>
    <w:rsid w:val="661F4300"/>
    <w:rsid w:val="662612ED"/>
    <w:rsid w:val="662F6A7E"/>
    <w:rsid w:val="6635138D"/>
    <w:rsid w:val="66392D7F"/>
    <w:rsid w:val="663B0E49"/>
    <w:rsid w:val="663C14F7"/>
    <w:rsid w:val="663C3DF4"/>
    <w:rsid w:val="663E7F75"/>
    <w:rsid w:val="664168E6"/>
    <w:rsid w:val="66470CD0"/>
    <w:rsid w:val="664B0154"/>
    <w:rsid w:val="664E6EB2"/>
    <w:rsid w:val="66502D1F"/>
    <w:rsid w:val="665C351B"/>
    <w:rsid w:val="667022B8"/>
    <w:rsid w:val="66791CBD"/>
    <w:rsid w:val="667E73BF"/>
    <w:rsid w:val="668056A8"/>
    <w:rsid w:val="66827D39"/>
    <w:rsid w:val="668406F6"/>
    <w:rsid w:val="668948B6"/>
    <w:rsid w:val="66902BE9"/>
    <w:rsid w:val="66903CBC"/>
    <w:rsid w:val="66964831"/>
    <w:rsid w:val="669D7C89"/>
    <w:rsid w:val="669E4CBE"/>
    <w:rsid w:val="669F2C8F"/>
    <w:rsid w:val="66A04EF0"/>
    <w:rsid w:val="66A25E68"/>
    <w:rsid w:val="66A7257D"/>
    <w:rsid w:val="66B32F46"/>
    <w:rsid w:val="66B766C4"/>
    <w:rsid w:val="66BC5856"/>
    <w:rsid w:val="66C24E46"/>
    <w:rsid w:val="66CB0A09"/>
    <w:rsid w:val="66CF1C63"/>
    <w:rsid w:val="66D4685A"/>
    <w:rsid w:val="66D74B8A"/>
    <w:rsid w:val="66E4498E"/>
    <w:rsid w:val="66E732AE"/>
    <w:rsid w:val="66E81BE3"/>
    <w:rsid w:val="66EE5B06"/>
    <w:rsid w:val="66F76686"/>
    <w:rsid w:val="66FE77F7"/>
    <w:rsid w:val="67026C2A"/>
    <w:rsid w:val="67090AC8"/>
    <w:rsid w:val="670C7DA3"/>
    <w:rsid w:val="67103935"/>
    <w:rsid w:val="6716518B"/>
    <w:rsid w:val="67232445"/>
    <w:rsid w:val="67273F82"/>
    <w:rsid w:val="673D231F"/>
    <w:rsid w:val="67401CB0"/>
    <w:rsid w:val="67444EB1"/>
    <w:rsid w:val="67467096"/>
    <w:rsid w:val="67535668"/>
    <w:rsid w:val="675C275D"/>
    <w:rsid w:val="675E188E"/>
    <w:rsid w:val="675F0267"/>
    <w:rsid w:val="67624365"/>
    <w:rsid w:val="676768E0"/>
    <w:rsid w:val="676D35E6"/>
    <w:rsid w:val="676F0965"/>
    <w:rsid w:val="67731229"/>
    <w:rsid w:val="67755A76"/>
    <w:rsid w:val="67784DBC"/>
    <w:rsid w:val="67830090"/>
    <w:rsid w:val="678A0916"/>
    <w:rsid w:val="678B0579"/>
    <w:rsid w:val="678B33D4"/>
    <w:rsid w:val="678D0807"/>
    <w:rsid w:val="678E212A"/>
    <w:rsid w:val="678F01C4"/>
    <w:rsid w:val="678F1B44"/>
    <w:rsid w:val="679B575A"/>
    <w:rsid w:val="679D6012"/>
    <w:rsid w:val="67AD3180"/>
    <w:rsid w:val="67B072D7"/>
    <w:rsid w:val="67B82702"/>
    <w:rsid w:val="67CE0929"/>
    <w:rsid w:val="67D0370F"/>
    <w:rsid w:val="67DD361A"/>
    <w:rsid w:val="67E342B5"/>
    <w:rsid w:val="67EC26A7"/>
    <w:rsid w:val="67F35E6C"/>
    <w:rsid w:val="67F50627"/>
    <w:rsid w:val="67F868C2"/>
    <w:rsid w:val="67FC63CB"/>
    <w:rsid w:val="67FC67A8"/>
    <w:rsid w:val="67FC69F5"/>
    <w:rsid w:val="680054E6"/>
    <w:rsid w:val="6807712B"/>
    <w:rsid w:val="680C629D"/>
    <w:rsid w:val="681059D8"/>
    <w:rsid w:val="681368DD"/>
    <w:rsid w:val="68156064"/>
    <w:rsid w:val="681D2C1B"/>
    <w:rsid w:val="68240D23"/>
    <w:rsid w:val="68250D7F"/>
    <w:rsid w:val="6826272C"/>
    <w:rsid w:val="68276844"/>
    <w:rsid w:val="682F1288"/>
    <w:rsid w:val="68351225"/>
    <w:rsid w:val="68404D54"/>
    <w:rsid w:val="684E7B0D"/>
    <w:rsid w:val="68531DD0"/>
    <w:rsid w:val="685349C4"/>
    <w:rsid w:val="68615C3E"/>
    <w:rsid w:val="686B40E6"/>
    <w:rsid w:val="687B47AE"/>
    <w:rsid w:val="68830346"/>
    <w:rsid w:val="688D0380"/>
    <w:rsid w:val="68947EB1"/>
    <w:rsid w:val="68992F4E"/>
    <w:rsid w:val="68A3544A"/>
    <w:rsid w:val="68A401DB"/>
    <w:rsid w:val="68A648E3"/>
    <w:rsid w:val="68A65E8F"/>
    <w:rsid w:val="68A77647"/>
    <w:rsid w:val="68A915BD"/>
    <w:rsid w:val="68AC4B41"/>
    <w:rsid w:val="68B205C3"/>
    <w:rsid w:val="68B61520"/>
    <w:rsid w:val="68BB34EA"/>
    <w:rsid w:val="68BF2C5D"/>
    <w:rsid w:val="68C318D9"/>
    <w:rsid w:val="68CB0867"/>
    <w:rsid w:val="68D007A0"/>
    <w:rsid w:val="68D4038C"/>
    <w:rsid w:val="68E32EDF"/>
    <w:rsid w:val="68E61EF7"/>
    <w:rsid w:val="68E709B2"/>
    <w:rsid w:val="68E9765C"/>
    <w:rsid w:val="68EB1BF1"/>
    <w:rsid w:val="68EB64CE"/>
    <w:rsid w:val="68EB6767"/>
    <w:rsid w:val="68F13280"/>
    <w:rsid w:val="68FE7EAC"/>
    <w:rsid w:val="69004580"/>
    <w:rsid w:val="690F5431"/>
    <w:rsid w:val="6926070D"/>
    <w:rsid w:val="69264F90"/>
    <w:rsid w:val="69275496"/>
    <w:rsid w:val="69297F8D"/>
    <w:rsid w:val="692A4B82"/>
    <w:rsid w:val="69317FC3"/>
    <w:rsid w:val="6936358C"/>
    <w:rsid w:val="6943492D"/>
    <w:rsid w:val="694B0ECF"/>
    <w:rsid w:val="694E1F1A"/>
    <w:rsid w:val="695833A0"/>
    <w:rsid w:val="6960721B"/>
    <w:rsid w:val="69765C6D"/>
    <w:rsid w:val="697D40F8"/>
    <w:rsid w:val="698E7D69"/>
    <w:rsid w:val="69903440"/>
    <w:rsid w:val="69911BB9"/>
    <w:rsid w:val="699F1A8A"/>
    <w:rsid w:val="69A25192"/>
    <w:rsid w:val="69C01A2D"/>
    <w:rsid w:val="69C1504C"/>
    <w:rsid w:val="69C97551"/>
    <w:rsid w:val="69D364BC"/>
    <w:rsid w:val="69DA0A4C"/>
    <w:rsid w:val="69E453BE"/>
    <w:rsid w:val="69EF7B2E"/>
    <w:rsid w:val="69FE1428"/>
    <w:rsid w:val="69FF7E61"/>
    <w:rsid w:val="6A0B47AA"/>
    <w:rsid w:val="6A175526"/>
    <w:rsid w:val="6A1967AA"/>
    <w:rsid w:val="6A1A28B0"/>
    <w:rsid w:val="6A2B0AFD"/>
    <w:rsid w:val="6A411EE7"/>
    <w:rsid w:val="6A423705"/>
    <w:rsid w:val="6A444E99"/>
    <w:rsid w:val="6A454C04"/>
    <w:rsid w:val="6A4C715B"/>
    <w:rsid w:val="6A5E092C"/>
    <w:rsid w:val="6A662864"/>
    <w:rsid w:val="6A671FB2"/>
    <w:rsid w:val="6A6863C7"/>
    <w:rsid w:val="6A732A9F"/>
    <w:rsid w:val="6A736C5D"/>
    <w:rsid w:val="6A7B49BF"/>
    <w:rsid w:val="6A7D48F8"/>
    <w:rsid w:val="6A8C7B0E"/>
    <w:rsid w:val="6A930583"/>
    <w:rsid w:val="6A9743BA"/>
    <w:rsid w:val="6A9B2E53"/>
    <w:rsid w:val="6AA04EB9"/>
    <w:rsid w:val="6AB71778"/>
    <w:rsid w:val="6AC15D28"/>
    <w:rsid w:val="6ACC1246"/>
    <w:rsid w:val="6AD860EA"/>
    <w:rsid w:val="6ADB0BD5"/>
    <w:rsid w:val="6AE90713"/>
    <w:rsid w:val="6AEA74ED"/>
    <w:rsid w:val="6AEC0B09"/>
    <w:rsid w:val="6AF71051"/>
    <w:rsid w:val="6AFB3559"/>
    <w:rsid w:val="6AFF5D73"/>
    <w:rsid w:val="6B00545A"/>
    <w:rsid w:val="6B027A3F"/>
    <w:rsid w:val="6B050E0E"/>
    <w:rsid w:val="6B064756"/>
    <w:rsid w:val="6B1E14DB"/>
    <w:rsid w:val="6B22330D"/>
    <w:rsid w:val="6B3642D5"/>
    <w:rsid w:val="6B390687"/>
    <w:rsid w:val="6B39796F"/>
    <w:rsid w:val="6B3C66B6"/>
    <w:rsid w:val="6B465496"/>
    <w:rsid w:val="6B4833E4"/>
    <w:rsid w:val="6B4C05D9"/>
    <w:rsid w:val="6B522EEE"/>
    <w:rsid w:val="6B537391"/>
    <w:rsid w:val="6B6C0783"/>
    <w:rsid w:val="6B73420B"/>
    <w:rsid w:val="6B760B6F"/>
    <w:rsid w:val="6B821572"/>
    <w:rsid w:val="6B8653CA"/>
    <w:rsid w:val="6B927554"/>
    <w:rsid w:val="6B936985"/>
    <w:rsid w:val="6B9636A3"/>
    <w:rsid w:val="6B9A5D89"/>
    <w:rsid w:val="6B9D14E2"/>
    <w:rsid w:val="6BA61A34"/>
    <w:rsid w:val="6BB82D13"/>
    <w:rsid w:val="6BBB66C5"/>
    <w:rsid w:val="6BC43408"/>
    <w:rsid w:val="6BD147DD"/>
    <w:rsid w:val="6BD16070"/>
    <w:rsid w:val="6BD71E27"/>
    <w:rsid w:val="6BE21044"/>
    <w:rsid w:val="6BE262D9"/>
    <w:rsid w:val="6BE52DF5"/>
    <w:rsid w:val="6BEB4255"/>
    <w:rsid w:val="6BED487E"/>
    <w:rsid w:val="6BEE790D"/>
    <w:rsid w:val="6BF406EA"/>
    <w:rsid w:val="6BF72C64"/>
    <w:rsid w:val="6BFE0B5E"/>
    <w:rsid w:val="6C015699"/>
    <w:rsid w:val="6C1205FA"/>
    <w:rsid w:val="6C146596"/>
    <w:rsid w:val="6C18355A"/>
    <w:rsid w:val="6C1E7A07"/>
    <w:rsid w:val="6C2347EA"/>
    <w:rsid w:val="6C2F6995"/>
    <w:rsid w:val="6C3055D0"/>
    <w:rsid w:val="6C33572C"/>
    <w:rsid w:val="6C377B3D"/>
    <w:rsid w:val="6C3F426A"/>
    <w:rsid w:val="6C404799"/>
    <w:rsid w:val="6C404DC3"/>
    <w:rsid w:val="6C4368CF"/>
    <w:rsid w:val="6C46240E"/>
    <w:rsid w:val="6C4F2768"/>
    <w:rsid w:val="6C541A7F"/>
    <w:rsid w:val="6C555602"/>
    <w:rsid w:val="6C5F2E47"/>
    <w:rsid w:val="6C647335"/>
    <w:rsid w:val="6C7F7F79"/>
    <w:rsid w:val="6C83447C"/>
    <w:rsid w:val="6C8618B4"/>
    <w:rsid w:val="6C884396"/>
    <w:rsid w:val="6C9C61F6"/>
    <w:rsid w:val="6CA00D14"/>
    <w:rsid w:val="6CA66677"/>
    <w:rsid w:val="6CAC26EE"/>
    <w:rsid w:val="6CB107E3"/>
    <w:rsid w:val="6CB25234"/>
    <w:rsid w:val="6CB752F4"/>
    <w:rsid w:val="6CC33F68"/>
    <w:rsid w:val="6CC36CDE"/>
    <w:rsid w:val="6CC60F80"/>
    <w:rsid w:val="6CD40F22"/>
    <w:rsid w:val="6CDF4849"/>
    <w:rsid w:val="6CEB2E70"/>
    <w:rsid w:val="6CF67C57"/>
    <w:rsid w:val="6CF75157"/>
    <w:rsid w:val="6CF77D95"/>
    <w:rsid w:val="6CF85FA2"/>
    <w:rsid w:val="6CFC6C57"/>
    <w:rsid w:val="6D0647F7"/>
    <w:rsid w:val="6D173392"/>
    <w:rsid w:val="6D19166D"/>
    <w:rsid w:val="6D195D1F"/>
    <w:rsid w:val="6D1F064D"/>
    <w:rsid w:val="6D1F6621"/>
    <w:rsid w:val="6D2352F8"/>
    <w:rsid w:val="6D250F3E"/>
    <w:rsid w:val="6D283CB5"/>
    <w:rsid w:val="6D314C23"/>
    <w:rsid w:val="6D3514FB"/>
    <w:rsid w:val="6D397B41"/>
    <w:rsid w:val="6D3B1B0A"/>
    <w:rsid w:val="6D471330"/>
    <w:rsid w:val="6D505B71"/>
    <w:rsid w:val="6D612E6E"/>
    <w:rsid w:val="6D6E72A4"/>
    <w:rsid w:val="6D764AC2"/>
    <w:rsid w:val="6D7B6A63"/>
    <w:rsid w:val="6D7D7EB2"/>
    <w:rsid w:val="6D7F7FA2"/>
    <w:rsid w:val="6D801B88"/>
    <w:rsid w:val="6D8B240E"/>
    <w:rsid w:val="6D8C5D75"/>
    <w:rsid w:val="6D8F7ED1"/>
    <w:rsid w:val="6D9358E8"/>
    <w:rsid w:val="6D990B6E"/>
    <w:rsid w:val="6DA054B2"/>
    <w:rsid w:val="6DA866E4"/>
    <w:rsid w:val="6DAF6725"/>
    <w:rsid w:val="6DB04ECC"/>
    <w:rsid w:val="6DB46F0B"/>
    <w:rsid w:val="6DC312F7"/>
    <w:rsid w:val="6DCB3A10"/>
    <w:rsid w:val="6DD20598"/>
    <w:rsid w:val="6DD66216"/>
    <w:rsid w:val="6DD82C9D"/>
    <w:rsid w:val="6DD97AF9"/>
    <w:rsid w:val="6DDA3F71"/>
    <w:rsid w:val="6DDB274F"/>
    <w:rsid w:val="6DF13A8A"/>
    <w:rsid w:val="6DF25D42"/>
    <w:rsid w:val="6DF60EFB"/>
    <w:rsid w:val="6DF74BCE"/>
    <w:rsid w:val="6DF92078"/>
    <w:rsid w:val="6DFB2D1C"/>
    <w:rsid w:val="6DFF3363"/>
    <w:rsid w:val="6E160D35"/>
    <w:rsid w:val="6E244587"/>
    <w:rsid w:val="6E291D03"/>
    <w:rsid w:val="6E2E4166"/>
    <w:rsid w:val="6E2E779B"/>
    <w:rsid w:val="6E36656D"/>
    <w:rsid w:val="6E3E309F"/>
    <w:rsid w:val="6E4A2A41"/>
    <w:rsid w:val="6E53213F"/>
    <w:rsid w:val="6E5B7E9D"/>
    <w:rsid w:val="6E6F3332"/>
    <w:rsid w:val="6E736D52"/>
    <w:rsid w:val="6E7D24BF"/>
    <w:rsid w:val="6E9868CA"/>
    <w:rsid w:val="6E990C03"/>
    <w:rsid w:val="6E9A5F71"/>
    <w:rsid w:val="6E9C6D89"/>
    <w:rsid w:val="6EA12767"/>
    <w:rsid w:val="6EA606D4"/>
    <w:rsid w:val="6EA80F7C"/>
    <w:rsid w:val="6EAF700F"/>
    <w:rsid w:val="6EBB6571"/>
    <w:rsid w:val="6EBF164B"/>
    <w:rsid w:val="6EC34545"/>
    <w:rsid w:val="6EC44D00"/>
    <w:rsid w:val="6ED44D3D"/>
    <w:rsid w:val="6ED550A1"/>
    <w:rsid w:val="6EDA3581"/>
    <w:rsid w:val="6EDB41D5"/>
    <w:rsid w:val="6EDD1160"/>
    <w:rsid w:val="6EDE7031"/>
    <w:rsid w:val="6EEA4DE3"/>
    <w:rsid w:val="6EFB1BDE"/>
    <w:rsid w:val="6F0E6B23"/>
    <w:rsid w:val="6F0F4B88"/>
    <w:rsid w:val="6F1A22D4"/>
    <w:rsid w:val="6F1B34B1"/>
    <w:rsid w:val="6F1D6484"/>
    <w:rsid w:val="6F1F7DBA"/>
    <w:rsid w:val="6F250911"/>
    <w:rsid w:val="6F2E13F7"/>
    <w:rsid w:val="6F312643"/>
    <w:rsid w:val="6F3602C3"/>
    <w:rsid w:val="6F366BB7"/>
    <w:rsid w:val="6F53105A"/>
    <w:rsid w:val="6F6114F0"/>
    <w:rsid w:val="6F6F4768"/>
    <w:rsid w:val="6F7A409F"/>
    <w:rsid w:val="6F8161FA"/>
    <w:rsid w:val="6F853A2B"/>
    <w:rsid w:val="6F8C09C2"/>
    <w:rsid w:val="6F8C6901"/>
    <w:rsid w:val="6F904A29"/>
    <w:rsid w:val="6F9D31DA"/>
    <w:rsid w:val="6FAB5CB3"/>
    <w:rsid w:val="6FB01346"/>
    <w:rsid w:val="6FB84EAC"/>
    <w:rsid w:val="6FBF64FF"/>
    <w:rsid w:val="6FCB027D"/>
    <w:rsid w:val="6FCD4C58"/>
    <w:rsid w:val="6FD213C1"/>
    <w:rsid w:val="6FD368F3"/>
    <w:rsid w:val="6FD756E4"/>
    <w:rsid w:val="6FDE21AB"/>
    <w:rsid w:val="6FE529C4"/>
    <w:rsid w:val="70033761"/>
    <w:rsid w:val="700F7B5D"/>
    <w:rsid w:val="70137686"/>
    <w:rsid w:val="701A3FBE"/>
    <w:rsid w:val="702421A4"/>
    <w:rsid w:val="70286CFB"/>
    <w:rsid w:val="70346A82"/>
    <w:rsid w:val="70403202"/>
    <w:rsid w:val="704060ED"/>
    <w:rsid w:val="704C2608"/>
    <w:rsid w:val="70500A61"/>
    <w:rsid w:val="70550DFF"/>
    <w:rsid w:val="705819EB"/>
    <w:rsid w:val="705C5FC6"/>
    <w:rsid w:val="70661AC6"/>
    <w:rsid w:val="706F4027"/>
    <w:rsid w:val="707B397B"/>
    <w:rsid w:val="70833285"/>
    <w:rsid w:val="70925045"/>
    <w:rsid w:val="709419C7"/>
    <w:rsid w:val="7094468B"/>
    <w:rsid w:val="709F1A2B"/>
    <w:rsid w:val="70A20491"/>
    <w:rsid w:val="70A45021"/>
    <w:rsid w:val="70AE5D60"/>
    <w:rsid w:val="70B218E4"/>
    <w:rsid w:val="70B2234C"/>
    <w:rsid w:val="70C93110"/>
    <w:rsid w:val="70CD73E1"/>
    <w:rsid w:val="70D76AA2"/>
    <w:rsid w:val="70D81CD7"/>
    <w:rsid w:val="70E87031"/>
    <w:rsid w:val="70F33FB8"/>
    <w:rsid w:val="71061414"/>
    <w:rsid w:val="710E5F92"/>
    <w:rsid w:val="71117F99"/>
    <w:rsid w:val="71137813"/>
    <w:rsid w:val="711475E7"/>
    <w:rsid w:val="71174BE6"/>
    <w:rsid w:val="712143FC"/>
    <w:rsid w:val="712D755B"/>
    <w:rsid w:val="71333689"/>
    <w:rsid w:val="71375B39"/>
    <w:rsid w:val="71382A2E"/>
    <w:rsid w:val="713B5E23"/>
    <w:rsid w:val="713E39AE"/>
    <w:rsid w:val="713F2BBB"/>
    <w:rsid w:val="71435739"/>
    <w:rsid w:val="714A41BB"/>
    <w:rsid w:val="714B59D2"/>
    <w:rsid w:val="71572B80"/>
    <w:rsid w:val="7163617C"/>
    <w:rsid w:val="7170415C"/>
    <w:rsid w:val="71782252"/>
    <w:rsid w:val="718F3FDD"/>
    <w:rsid w:val="71996960"/>
    <w:rsid w:val="719F2895"/>
    <w:rsid w:val="719F2D91"/>
    <w:rsid w:val="71A116A4"/>
    <w:rsid w:val="71AE0E7B"/>
    <w:rsid w:val="71AF0F8C"/>
    <w:rsid w:val="71B16C0A"/>
    <w:rsid w:val="71B60B70"/>
    <w:rsid w:val="71BC4DAC"/>
    <w:rsid w:val="71BE3645"/>
    <w:rsid w:val="71BF1C3F"/>
    <w:rsid w:val="71C05563"/>
    <w:rsid w:val="71CF14C4"/>
    <w:rsid w:val="71D004E3"/>
    <w:rsid w:val="71D0383B"/>
    <w:rsid w:val="71D805AE"/>
    <w:rsid w:val="71D87AE3"/>
    <w:rsid w:val="71DB4617"/>
    <w:rsid w:val="71DF26E5"/>
    <w:rsid w:val="71E366FD"/>
    <w:rsid w:val="71E97C23"/>
    <w:rsid w:val="71EB33FB"/>
    <w:rsid w:val="71F64EC9"/>
    <w:rsid w:val="72054F93"/>
    <w:rsid w:val="720A1D7F"/>
    <w:rsid w:val="72100D50"/>
    <w:rsid w:val="72113428"/>
    <w:rsid w:val="721834D7"/>
    <w:rsid w:val="721D5206"/>
    <w:rsid w:val="72304E9B"/>
    <w:rsid w:val="724D3A4D"/>
    <w:rsid w:val="724E6055"/>
    <w:rsid w:val="72513BC7"/>
    <w:rsid w:val="72515FD7"/>
    <w:rsid w:val="726B2126"/>
    <w:rsid w:val="72726D3F"/>
    <w:rsid w:val="72746F07"/>
    <w:rsid w:val="72784708"/>
    <w:rsid w:val="72845C89"/>
    <w:rsid w:val="728E4BA8"/>
    <w:rsid w:val="72990770"/>
    <w:rsid w:val="729E2F03"/>
    <w:rsid w:val="729F3AD3"/>
    <w:rsid w:val="72A05259"/>
    <w:rsid w:val="72A569D2"/>
    <w:rsid w:val="72A61D82"/>
    <w:rsid w:val="72AF3F0C"/>
    <w:rsid w:val="72BB49F8"/>
    <w:rsid w:val="72DE371B"/>
    <w:rsid w:val="72E50256"/>
    <w:rsid w:val="72E857E2"/>
    <w:rsid w:val="72E87D8B"/>
    <w:rsid w:val="72ED7887"/>
    <w:rsid w:val="72F91684"/>
    <w:rsid w:val="72FA3ADB"/>
    <w:rsid w:val="73027C20"/>
    <w:rsid w:val="7309737D"/>
    <w:rsid w:val="730C7728"/>
    <w:rsid w:val="730F0D6F"/>
    <w:rsid w:val="731334C5"/>
    <w:rsid w:val="73136656"/>
    <w:rsid w:val="73146F30"/>
    <w:rsid w:val="732042B1"/>
    <w:rsid w:val="732A4700"/>
    <w:rsid w:val="732C5F26"/>
    <w:rsid w:val="73335208"/>
    <w:rsid w:val="733D5A34"/>
    <w:rsid w:val="73431846"/>
    <w:rsid w:val="7347055F"/>
    <w:rsid w:val="73521AA2"/>
    <w:rsid w:val="73524D7D"/>
    <w:rsid w:val="73535EB1"/>
    <w:rsid w:val="73594A37"/>
    <w:rsid w:val="73645F8E"/>
    <w:rsid w:val="736E5EC2"/>
    <w:rsid w:val="73771ED4"/>
    <w:rsid w:val="739558CF"/>
    <w:rsid w:val="739843DF"/>
    <w:rsid w:val="739F462C"/>
    <w:rsid w:val="73A65F80"/>
    <w:rsid w:val="73A7290F"/>
    <w:rsid w:val="73A928DB"/>
    <w:rsid w:val="73B165E4"/>
    <w:rsid w:val="73C330CC"/>
    <w:rsid w:val="73C71BF8"/>
    <w:rsid w:val="73CE60C7"/>
    <w:rsid w:val="73CE7FB5"/>
    <w:rsid w:val="73D42EC1"/>
    <w:rsid w:val="73D52B9D"/>
    <w:rsid w:val="73D63826"/>
    <w:rsid w:val="73D859DE"/>
    <w:rsid w:val="73DC16CE"/>
    <w:rsid w:val="73DC185F"/>
    <w:rsid w:val="73DE2F47"/>
    <w:rsid w:val="73E03F83"/>
    <w:rsid w:val="73E33554"/>
    <w:rsid w:val="73E43F5B"/>
    <w:rsid w:val="73E810AB"/>
    <w:rsid w:val="73F531C7"/>
    <w:rsid w:val="73FD3AF7"/>
    <w:rsid w:val="74054FF0"/>
    <w:rsid w:val="740B3234"/>
    <w:rsid w:val="740E61A5"/>
    <w:rsid w:val="741528C5"/>
    <w:rsid w:val="7415345A"/>
    <w:rsid w:val="7418646B"/>
    <w:rsid w:val="74192B34"/>
    <w:rsid w:val="741C1616"/>
    <w:rsid w:val="741E4BDF"/>
    <w:rsid w:val="74205D5C"/>
    <w:rsid w:val="74216CF9"/>
    <w:rsid w:val="742631D9"/>
    <w:rsid w:val="743D40F6"/>
    <w:rsid w:val="743F5BD3"/>
    <w:rsid w:val="74407B8E"/>
    <w:rsid w:val="74481573"/>
    <w:rsid w:val="74517763"/>
    <w:rsid w:val="74563AFA"/>
    <w:rsid w:val="745F2932"/>
    <w:rsid w:val="7461360E"/>
    <w:rsid w:val="74633BE5"/>
    <w:rsid w:val="7473704A"/>
    <w:rsid w:val="747571D3"/>
    <w:rsid w:val="747B49A7"/>
    <w:rsid w:val="74800977"/>
    <w:rsid w:val="74860BC0"/>
    <w:rsid w:val="74897739"/>
    <w:rsid w:val="749B2ED2"/>
    <w:rsid w:val="749E2DF3"/>
    <w:rsid w:val="74AD1318"/>
    <w:rsid w:val="74B10DF1"/>
    <w:rsid w:val="74C15DD3"/>
    <w:rsid w:val="74C225BE"/>
    <w:rsid w:val="74C27495"/>
    <w:rsid w:val="74C300DA"/>
    <w:rsid w:val="74C70730"/>
    <w:rsid w:val="74CD3CEC"/>
    <w:rsid w:val="74D521ED"/>
    <w:rsid w:val="74DE1293"/>
    <w:rsid w:val="74EA36F8"/>
    <w:rsid w:val="74F55D4E"/>
    <w:rsid w:val="74F73EA2"/>
    <w:rsid w:val="74FA6079"/>
    <w:rsid w:val="74FB1B95"/>
    <w:rsid w:val="750266BF"/>
    <w:rsid w:val="75036CB5"/>
    <w:rsid w:val="750D0A21"/>
    <w:rsid w:val="750D2D79"/>
    <w:rsid w:val="751074E8"/>
    <w:rsid w:val="75117725"/>
    <w:rsid w:val="75140E23"/>
    <w:rsid w:val="751D2E79"/>
    <w:rsid w:val="751E0810"/>
    <w:rsid w:val="7526576B"/>
    <w:rsid w:val="752A6372"/>
    <w:rsid w:val="752C3E2F"/>
    <w:rsid w:val="753359BF"/>
    <w:rsid w:val="75362C67"/>
    <w:rsid w:val="754277BC"/>
    <w:rsid w:val="75485F89"/>
    <w:rsid w:val="754A6AD3"/>
    <w:rsid w:val="754B03EA"/>
    <w:rsid w:val="75503D65"/>
    <w:rsid w:val="75524652"/>
    <w:rsid w:val="75616C35"/>
    <w:rsid w:val="75623C20"/>
    <w:rsid w:val="75652D00"/>
    <w:rsid w:val="756E2FE8"/>
    <w:rsid w:val="757B2AAB"/>
    <w:rsid w:val="757C6ABC"/>
    <w:rsid w:val="757F4D6A"/>
    <w:rsid w:val="758E0E19"/>
    <w:rsid w:val="7597616B"/>
    <w:rsid w:val="759835F6"/>
    <w:rsid w:val="75996801"/>
    <w:rsid w:val="759B4B04"/>
    <w:rsid w:val="75A308BD"/>
    <w:rsid w:val="75A500B8"/>
    <w:rsid w:val="75A53255"/>
    <w:rsid w:val="75A624D1"/>
    <w:rsid w:val="75AA2693"/>
    <w:rsid w:val="75AF319A"/>
    <w:rsid w:val="75BB51FC"/>
    <w:rsid w:val="75CC5045"/>
    <w:rsid w:val="75CF3E2C"/>
    <w:rsid w:val="75D02E35"/>
    <w:rsid w:val="75D763A0"/>
    <w:rsid w:val="75D8664D"/>
    <w:rsid w:val="75D93C50"/>
    <w:rsid w:val="75DD34F9"/>
    <w:rsid w:val="75E02207"/>
    <w:rsid w:val="75E4405E"/>
    <w:rsid w:val="75E50BB6"/>
    <w:rsid w:val="75E520C0"/>
    <w:rsid w:val="75EF76CE"/>
    <w:rsid w:val="75F25A7A"/>
    <w:rsid w:val="75F42FB5"/>
    <w:rsid w:val="75F72AEE"/>
    <w:rsid w:val="75FD327B"/>
    <w:rsid w:val="75FF3CC8"/>
    <w:rsid w:val="76090CE0"/>
    <w:rsid w:val="760936E3"/>
    <w:rsid w:val="76105CFA"/>
    <w:rsid w:val="761308AF"/>
    <w:rsid w:val="762B5582"/>
    <w:rsid w:val="76363035"/>
    <w:rsid w:val="76393487"/>
    <w:rsid w:val="76435A1C"/>
    <w:rsid w:val="76472289"/>
    <w:rsid w:val="764B547C"/>
    <w:rsid w:val="76583319"/>
    <w:rsid w:val="765B3685"/>
    <w:rsid w:val="766767D0"/>
    <w:rsid w:val="766B1A40"/>
    <w:rsid w:val="766E7A5E"/>
    <w:rsid w:val="76854BEA"/>
    <w:rsid w:val="76857FC9"/>
    <w:rsid w:val="76875D40"/>
    <w:rsid w:val="768E5C5D"/>
    <w:rsid w:val="76912975"/>
    <w:rsid w:val="769500DB"/>
    <w:rsid w:val="76A6235A"/>
    <w:rsid w:val="76A925F7"/>
    <w:rsid w:val="76AB4E10"/>
    <w:rsid w:val="76AD3F97"/>
    <w:rsid w:val="76B5774C"/>
    <w:rsid w:val="76B7778C"/>
    <w:rsid w:val="76C8450B"/>
    <w:rsid w:val="76D44BF8"/>
    <w:rsid w:val="76D83CFB"/>
    <w:rsid w:val="76EA38AD"/>
    <w:rsid w:val="76EF68A9"/>
    <w:rsid w:val="76F45B15"/>
    <w:rsid w:val="76FD1BAC"/>
    <w:rsid w:val="76FD3444"/>
    <w:rsid w:val="77050453"/>
    <w:rsid w:val="770861F7"/>
    <w:rsid w:val="771A7FD8"/>
    <w:rsid w:val="771C40DE"/>
    <w:rsid w:val="771F3293"/>
    <w:rsid w:val="77201DA5"/>
    <w:rsid w:val="77236F9E"/>
    <w:rsid w:val="77266DBA"/>
    <w:rsid w:val="773D1F29"/>
    <w:rsid w:val="77443E6F"/>
    <w:rsid w:val="774C4B86"/>
    <w:rsid w:val="774D542B"/>
    <w:rsid w:val="775D37A7"/>
    <w:rsid w:val="776010C1"/>
    <w:rsid w:val="776537F9"/>
    <w:rsid w:val="776D12C0"/>
    <w:rsid w:val="777000C3"/>
    <w:rsid w:val="7782750C"/>
    <w:rsid w:val="778968AF"/>
    <w:rsid w:val="778B5DCD"/>
    <w:rsid w:val="778D0CFF"/>
    <w:rsid w:val="779009D2"/>
    <w:rsid w:val="77941128"/>
    <w:rsid w:val="779C28D3"/>
    <w:rsid w:val="779E1ECF"/>
    <w:rsid w:val="77A16A81"/>
    <w:rsid w:val="77A345AE"/>
    <w:rsid w:val="77AC461B"/>
    <w:rsid w:val="77BF62A5"/>
    <w:rsid w:val="77C5368A"/>
    <w:rsid w:val="77C814E4"/>
    <w:rsid w:val="77CD19D3"/>
    <w:rsid w:val="77CE2255"/>
    <w:rsid w:val="77CF42AA"/>
    <w:rsid w:val="77D22F2D"/>
    <w:rsid w:val="77D96065"/>
    <w:rsid w:val="77DB5CA3"/>
    <w:rsid w:val="77EF7237"/>
    <w:rsid w:val="77F240A6"/>
    <w:rsid w:val="77F77EF0"/>
    <w:rsid w:val="77FC50EC"/>
    <w:rsid w:val="77FD7DD0"/>
    <w:rsid w:val="78051C32"/>
    <w:rsid w:val="780E553B"/>
    <w:rsid w:val="78126D3E"/>
    <w:rsid w:val="78152416"/>
    <w:rsid w:val="781A1B19"/>
    <w:rsid w:val="782C55AA"/>
    <w:rsid w:val="7834183D"/>
    <w:rsid w:val="78363CC5"/>
    <w:rsid w:val="783F5B37"/>
    <w:rsid w:val="784477B2"/>
    <w:rsid w:val="78452FA3"/>
    <w:rsid w:val="784C3598"/>
    <w:rsid w:val="78553EB6"/>
    <w:rsid w:val="78576FB1"/>
    <w:rsid w:val="785B7B11"/>
    <w:rsid w:val="78700245"/>
    <w:rsid w:val="78720523"/>
    <w:rsid w:val="78780BBE"/>
    <w:rsid w:val="787C151A"/>
    <w:rsid w:val="787E134F"/>
    <w:rsid w:val="787F599A"/>
    <w:rsid w:val="788028FE"/>
    <w:rsid w:val="78912264"/>
    <w:rsid w:val="78922CE5"/>
    <w:rsid w:val="789924E8"/>
    <w:rsid w:val="789B6F51"/>
    <w:rsid w:val="78A04B02"/>
    <w:rsid w:val="78A51A7B"/>
    <w:rsid w:val="78AA523E"/>
    <w:rsid w:val="78AE46EF"/>
    <w:rsid w:val="78AF1100"/>
    <w:rsid w:val="78B06938"/>
    <w:rsid w:val="78B15AFD"/>
    <w:rsid w:val="78B86506"/>
    <w:rsid w:val="78BB61BF"/>
    <w:rsid w:val="78C32218"/>
    <w:rsid w:val="78C364F7"/>
    <w:rsid w:val="78C90A86"/>
    <w:rsid w:val="78D33E19"/>
    <w:rsid w:val="78D5030A"/>
    <w:rsid w:val="78D50DE0"/>
    <w:rsid w:val="78DB6DD1"/>
    <w:rsid w:val="78DC689B"/>
    <w:rsid w:val="78E03B21"/>
    <w:rsid w:val="78E24141"/>
    <w:rsid w:val="78E64B46"/>
    <w:rsid w:val="78FE546F"/>
    <w:rsid w:val="79014E16"/>
    <w:rsid w:val="79173959"/>
    <w:rsid w:val="792557C6"/>
    <w:rsid w:val="79260D1E"/>
    <w:rsid w:val="79310C2E"/>
    <w:rsid w:val="79361C74"/>
    <w:rsid w:val="79391966"/>
    <w:rsid w:val="793C208C"/>
    <w:rsid w:val="793D0CA9"/>
    <w:rsid w:val="793F4998"/>
    <w:rsid w:val="794806C8"/>
    <w:rsid w:val="794F4CF4"/>
    <w:rsid w:val="795D1230"/>
    <w:rsid w:val="796018C4"/>
    <w:rsid w:val="79612E03"/>
    <w:rsid w:val="79725790"/>
    <w:rsid w:val="797A4A96"/>
    <w:rsid w:val="797D3F39"/>
    <w:rsid w:val="7989427E"/>
    <w:rsid w:val="7992066C"/>
    <w:rsid w:val="79957E32"/>
    <w:rsid w:val="799625B2"/>
    <w:rsid w:val="79964C0B"/>
    <w:rsid w:val="79A44BD6"/>
    <w:rsid w:val="79A778EA"/>
    <w:rsid w:val="79BC7017"/>
    <w:rsid w:val="79C20E38"/>
    <w:rsid w:val="79CD2C3E"/>
    <w:rsid w:val="79CE037E"/>
    <w:rsid w:val="79DF5EDA"/>
    <w:rsid w:val="79E851C3"/>
    <w:rsid w:val="79EE4B59"/>
    <w:rsid w:val="79F1315F"/>
    <w:rsid w:val="79F51D63"/>
    <w:rsid w:val="79FE34E8"/>
    <w:rsid w:val="7A047C80"/>
    <w:rsid w:val="7A097ED0"/>
    <w:rsid w:val="7A0D400E"/>
    <w:rsid w:val="7A0F6153"/>
    <w:rsid w:val="7A10336D"/>
    <w:rsid w:val="7A1337BC"/>
    <w:rsid w:val="7A142A28"/>
    <w:rsid w:val="7A182BA1"/>
    <w:rsid w:val="7A187E46"/>
    <w:rsid w:val="7A221AD3"/>
    <w:rsid w:val="7A231543"/>
    <w:rsid w:val="7A25682E"/>
    <w:rsid w:val="7A261857"/>
    <w:rsid w:val="7A322CCD"/>
    <w:rsid w:val="7A3264BA"/>
    <w:rsid w:val="7A340717"/>
    <w:rsid w:val="7A3E7F2D"/>
    <w:rsid w:val="7A3F5D2C"/>
    <w:rsid w:val="7A45219B"/>
    <w:rsid w:val="7A4C5892"/>
    <w:rsid w:val="7A4F6CF7"/>
    <w:rsid w:val="7A5D743F"/>
    <w:rsid w:val="7A6308E2"/>
    <w:rsid w:val="7A6B35D5"/>
    <w:rsid w:val="7A7612F1"/>
    <w:rsid w:val="7AA33FD6"/>
    <w:rsid w:val="7AAD2416"/>
    <w:rsid w:val="7AAF212B"/>
    <w:rsid w:val="7ACD3F4C"/>
    <w:rsid w:val="7ACD6665"/>
    <w:rsid w:val="7AD758C3"/>
    <w:rsid w:val="7AE222D4"/>
    <w:rsid w:val="7AEC0F44"/>
    <w:rsid w:val="7AED44E8"/>
    <w:rsid w:val="7AF05BFE"/>
    <w:rsid w:val="7AF10672"/>
    <w:rsid w:val="7B052095"/>
    <w:rsid w:val="7B05505B"/>
    <w:rsid w:val="7B0609D4"/>
    <w:rsid w:val="7B0A2E24"/>
    <w:rsid w:val="7B1C79FA"/>
    <w:rsid w:val="7B1D2943"/>
    <w:rsid w:val="7B2001F8"/>
    <w:rsid w:val="7B21315F"/>
    <w:rsid w:val="7B25107C"/>
    <w:rsid w:val="7B2B5FFE"/>
    <w:rsid w:val="7B2F4A85"/>
    <w:rsid w:val="7B392445"/>
    <w:rsid w:val="7B3B58DB"/>
    <w:rsid w:val="7B493EF6"/>
    <w:rsid w:val="7B4946AB"/>
    <w:rsid w:val="7B4B348A"/>
    <w:rsid w:val="7B4D0941"/>
    <w:rsid w:val="7B4E11A0"/>
    <w:rsid w:val="7B5C2755"/>
    <w:rsid w:val="7B762A0B"/>
    <w:rsid w:val="7B7F0305"/>
    <w:rsid w:val="7B836A79"/>
    <w:rsid w:val="7B853BBD"/>
    <w:rsid w:val="7B9964EA"/>
    <w:rsid w:val="7B9B4D99"/>
    <w:rsid w:val="7B9C43C2"/>
    <w:rsid w:val="7BC041EA"/>
    <w:rsid w:val="7BD132A9"/>
    <w:rsid w:val="7BD26477"/>
    <w:rsid w:val="7BD91DA7"/>
    <w:rsid w:val="7BDA66B1"/>
    <w:rsid w:val="7BDD27B2"/>
    <w:rsid w:val="7BDD5607"/>
    <w:rsid w:val="7BE015C0"/>
    <w:rsid w:val="7BE8591A"/>
    <w:rsid w:val="7BEA23B7"/>
    <w:rsid w:val="7BEE3229"/>
    <w:rsid w:val="7BFB4593"/>
    <w:rsid w:val="7C030999"/>
    <w:rsid w:val="7C077FDC"/>
    <w:rsid w:val="7C092E61"/>
    <w:rsid w:val="7C0D6460"/>
    <w:rsid w:val="7C162890"/>
    <w:rsid w:val="7C1F4E56"/>
    <w:rsid w:val="7C27771E"/>
    <w:rsid w:val="7C3954C5"/>
    <w:rsid w:val="7C396A23"/>
    <w:rsid w:val="7C3C5907"/>
    <w:rsid w:val="7C48766D"/>
    <w:rsid w:val="7C4876D4"/>
    <w:rsid w:val="7C4A4B9C"/>
    <w:rsid w:val="7C4C6857"/>
    <w:rsid w:val="7C53761A"/>
    <w:rsid w:val="7C5B2CCF"/>
    <w:rsid w:val="7C600473"/>
    <w:rsid w:val="7C645DAD"/>
    <w:rsid w:val="7C65513E"/>
    <w:rsid w:val="7C6D0310"/>
    <w:rsid w:val="7C6F0261"/>
    <w:rsid w:val="7C75245D"/>
    <w:rsid w:val="7C755A2D"/>
    <w:rsid w:val="7C894B3E"/>
    <w:rsid w:val="7C8C5389"/>
    <w:rsid w:val="7C921E2D"/>
    <w:rsid w:val="7C970E52"/>
    <w:rsid w:val="7C9A557E"/>
    <w:rsid w:val="7CA96D1A"/>
    <w:rsid w:val="7CB50EC8"/>
    <w:rsid w:val="7CBA3C94"/>
    <w:rsid w:val="7CC50A5C"/>
    <w:rsid w:val="7CCD0952"/>
    <w:rsid w:val="7CDB5E2C"/>
    <w:rsid w:val="7CDC300B"/>
    <w:rsid w:val="7CE53EB0"/>
    <w:rsid w:val="7CE660CB"/>
    <w:rsid w:val="7CE76E9E"/>
    <w:rsid w:val="7CF06E42"/>
    <w:rsid w:val="7CFC58FA"/>
    <w:rsid w:val="7D024402"/>
    <w:rsid w:val="7D0B4E77"/>
    <w:rsid w:val="7D0D1971"/>
    <w:rsid w:val="7D101995"/>
    <w:rsid w:val="7D151DD9"/>
    <w:rsid w:val="7D174A92"/>
    <w:rsid w:val="7D1A694F"/>
    <w:rsid w:val="7D1C1BFF"/>
    <w:rsid w:val="7D1D0BFA"/>
    <w:rsid w:val="7D1D33ED"/>
    <w:rsid w:val="7D3E44E1"/>
    <w:rsid w:val="7D4620BD"/>
    <w:rsid w:val="7D4D1E21"/>
    <w:rsid w:val="7D5A3B7E"/>
    <w:rsid w:val="7D5D1648"/>
    <w:rsid w:val="7D5D37A6"/>
    <w:rsid w:val="7D61570F"/>
    <w:rsid w:val="7D635197"/>
    <w:rsid w:val="7D6C2953"/>
    <w:rsid w:val="7D700545"/>
    <w:rsid w:val="7D836A9C"/>
    <w:rsid w:val="7D8834FE"/>
    <w:rsid w:val="7D890A08"/>
    <w:rsid w:val="7D8C33AD"/>
    <w:rsid w:val="7D8C6D2B"/>
    <w:rsid w:val="7D8E6882"/>
    <w:rsid w:val="7D902F14"/>
    <w:rsid w:val="7D920CD7"/>
    <w:rsid w:val="7DA2463C"/>
    <w:rsid w:val="7DA26CC0"/>
    <w:rsid w:val="7DB408B0"/>
    <w:rsid w:val="7DBF2AB4"/>
    <w:rsid w:val="7DBF3213"/>
    <w:rsid w:val="7DC2014F"/>
    <w:rsid w:val="7DC5030E"/>
    <w:rsid w:val="7DCA179A"/>
    <w:rsid w:val="7DD43160"/>
    <w:rsid w:val="7DD72467"/>
    <w:rsid w:val="7DD74D32"/>
    <w:rsid w:val="7DD87F33"/>
    <w:rsid w:val="7DE4477C"/>
    <w:rsid w:val="7DE46424"/>
    <w:rsid w:val="7DEC1C3E"/>
    <w:rsid w:val="7DF27C6E"/>
    <w:rsid w:val="7DF848D5"/>
    <w:rsid w:val="7DFA3E79"/>
    <w:rsid w:val="7DFD73D2"/>
    <w:rsid w:val="7E0161CB"/>
    <w:rsid w:val="7E0F3E7B"/>
    <w:rsid w:val="7E1118FB"/>
    <w:rsid w:val="7E136484"/>
    <w:rsid w:val="7E173E57"/>
    <w:rsid w:val="7E1A5EED"/>
    <w:rsid w:val="7E1D2751"/>
    <w:rsid w:val="7E2B0D25"/>
    <w:rsid w:val="7E2D741B"/>
    <w:rsid w:val="7E2F54C8"/>
    <w:rsid w:val="7E324FED"/>
    <w:rsid w:val="7E330D0E"/>
    <w:rsid w:val="7E333283"/>
    <w:rsid w:val="7E3D365B"/>
    <w:rsid w:val="7E41452E"/>
    <w:rsid w:val="7E4213F6"/>
    <w:rsid w:val="7E4C4871"/>
    <w:rsid w:val="7E536CD5"/>
    <w:rsid w:val="7E5741C8"/>
    <w:rsid w:val="7E60625F"/>
    <w:rsid w:val="7E606E01"/>
    <w:rsid w:val="7E61084F"/>
    <w:rsid w:val="7E637B3E"/>
    <w:rsid w:val="7E6E3478"/>
    <w:rsid w:val="7E7319F6"/>
    <w:rsid w:val="7E770151"/>
    <w:rsid w:val="7E7C6621"/>
    <w:rsid w:val="7E8454B9"/>
    <w:rsid w:val="7E897848"/>
    <w:rsid w:val="7E920B64"/>
    <w:rsid w:val="7E935DF2"/>
    <w:rsid w:val="7E946D84"/>
    <w:rsid w:val="7EA10698"/>
    <w:rsid w:val="7EAC60C5"/>
    <w:rsid w:val="7EAE48A5"/>
    <w:rsid w:val="7EB46DD5"/>
    <w:rsid w:val="7EB80FC9"/>
    <w:rsid w:val="7EB87975"/>
    <w:rsid w:val="7EB87A43"/>
    <w:rsid w:val="7EBE7F67"/>
    <w:rsid w:val="7EC824C8"/>
    <w:rsid w:val="7ECA3F99"/>
    <w:rsid w:val="7ECB4D3E"/>
    <w:rsid w:val="7ECF23DF"/>
    <w:rsid w:val="7EDD6F85"/>
    <w:rsid w:val="7EE77FC3"/>
    <w:rsid w:val="7EEB03EA"/>
    <w:rsid w:val="7EEB4D67"/>
    <w:rsid w:val="7EF278DB"/>
    <w:rsid w:val="7EF72260"/>
    <w:rsid w:val="7EFC240C"/>
    <w:rsid w:val="7F015480"/>
    <w:rsid w:val="7F127E5F"/>
    <w:rsid w:val="7F1475DB"/>
    <w:rsid w:val="7F15085A"/>
    <w:rsid w:val="7F1D488C"/>
    <w:rsid w:val="7F24235B"/>
    <w:rsid w:val="7F272C85"/>
    <w:rsid w:val="7F2D1760"/>
    <w:rsid w:val="7F2F036C"/>
    <w:rsid w:val="7F2F6C26"/>
    <w:rsid w:val="7F33574E"/>
    <w:rsid w:val="7F3B7AF9"/>
    <w:rsid w:val="7F4046E1"/>
    <w:rsid w:val="7F4D432A"/>
    <w:rsid w:val="7F4D43A4"/>
    <w:rsid w:val="7F576859"/>
    <w:rsid w:val="7F583C4C"/>
    <w:rsid w:val="7F626278"/>
    <w:rsid w:val="7F6F7FC9"/>
    <w:rsid w:val="7F882158"/>
    <w:rsid w:val="7F9968C5"/>
    <w:rsid w:val="7F9E4D2E"/>
    <w:rsid w:val="7FA8583E"/>
    <w:rsid w:val="7FAE5D41"/>
    <w:rsid w:val="7FB3249A"/>
    <w:rsid w:val="7FBF54D1"/>
    <w:rsid w:val="7FC73222"/>
    <w:rsid w:val="7FD50C79"/>
    <w:rsid w:val="7FDA7E4C"/>
    <w:rsid w:val="7FE0767E"/>
    <w:rsid w:val="7FE35333"/>
    <w:rsid w:val="7FF506C8"/>
    <w:rsid w:val="7FF92D33"/>
    <w:rsid w:val="7FFF57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qFormat="1" w:uiPriority="99"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3">
    <w:name w:val="heading 1"/>
    <w:basedOn w:val="1"/>
    <w:next w:val="1"/>
    <w:link w:val="37"/>
    <w:qFormat/>
    <w:uiPriority w:val="9"/>
    <w:pPr>
      <w:keepNext/>
      <w:outlineLvl w:val="0"/>
    </w:pPr>
    <w:rPr>
      <w:b/>
      <w:bCs/>
      <w:sz w:val="28"/>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1"/>
    <w:pPr>
      <w:ind w:left="758"/>
      <w:outlineLvl w:val="3"/>
    </w:pPr>
    <w:rPr>
      <w:rFonts w:ascii="宋体" w:hAnsi="宋体" w:eastAsia="宋体" w:cs="宋体"/>
      <w:b/>
      <w:bCs/>
      <w:sz w:val="24"/>
      <w:szCs w:val="24"/>
      <w:lang w:val="zh-CN" w:eastAsia="zh-CN" w:bidi="zh-CN"/>
    </w:rPr>
  </w:style>
  <w:style w:type="character" w:default="1" w:styleId="28">
    <w:name w:val="Default Paragraph Font"/>
    <w:link w:val="29"/>
    <w:semiHidden/>
    <w:qFormat/>
    <w:uiPriority w:val="0"/>
    <w:rPr>
      <w:rFonts w:ascii="Times New Roman" w:hAnsi="Times New Roman" w:eastAsia="宋体" w:cs="Times New Roman"/>
      <w:sz w:val="28"/>
      <w:szCs w:val="24"/>
    </w:rPr>
  </w:style>
  <w:style w:type="table" w:default="1" w:styleId="24">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99"/>
    <w:pPr>
      <w:spacing w:after="120" w:line="480" w:lineRule="auto"/>
    </w:pPr>
    <w:rPr>
      <w:sz w:val="21"/>
    </w:rPr>
  </w:style>
  <w:style w:type="paragraph" w:styleId="6">
    <w:name w:val="Normal Indent"/>
    <w:basedOn w:val="1"/>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7">
    <w:name w:val="caption"/>
    <w:basedOn w:val="1"/>
    <w:next w:val="1"/>
    <w:qFormat/>
    <w:uiPriority w:val="0"/>
    <w:pPr>
      <w:autoSpaceDE w:val="0"/>
      <w:autoSpaceDN w:val="0"/>
      <w:adjustRightInd w:val="0"/>
      <w:spacing w:before="120" w:line="288" w:lineRule="auto"/>
      <w:jc w:val="left"/>
      <w:textAlignment w:val="baseline"/>
    </w:pPr>
    <w:rPr>
      <w:rFonts w:eastAsia="黑体"/>
      <w:kern w:val="0"/>
      <w:sz w:val="24"/>
      <w:szCs w:val="20"/>
    </w:rPr>
  </w:style>
  <w:style w:type="paragraph" w:styleId="8">
    <w:name w:val="annotation text"/>
    <w:basedOn w:val="1"/>
    <w:qFormat/>
    <w:uiPriority w:val="0"/>
    <w:pPr>
      <w:jc w:val="left"/>
    </w:pPr>
    <w:rPr>
      <w:rFonts w:ascii="Times New Roman" w:hAnsi="Times New Roman" w:eastAsia="宋体" w:cs="Times New Roman"/>
      <w:szCs w:val="20"/>
    </w:rPr>
  </w:style>
  <w:style w:type="paragraph" w:styleId="9">
    <w:name w:val="Body Text"/>
    <w:basedOn w:val="1"/>
    <w:qFormat/>
    <w:uiPriority w:val="1"/>
    <w:rPr>
      <w:rFonts w:ascii="宋体" w:hAnsi="宋体" w:eastAsia="宋体" w:cs="宋体"/>
      <w:sz w:val="24"/>
      <w:szCs w:val="24"/>
      <w:lang w:val="zh-CN" w:eastAsia="zh-CN" w:bidi="zh-CN"/>
    </w:rPr>
  </w:style>
  <w:style w:type="paragraph" w:styleId="10">
    <w:name w:val="Body Text Indent"/>
    <w:basedOn w:val="1"/>
    <w:next w:val="11"/>
    <w:unhideWhenUsed/>
    <w:qFormat/>
    <w:uiPriority w:val="99"/>
    <w:pPr>
      <w:spacing w:line="440" w:lineRule="exact"/>
      <w:ind w:firstLine="480" w:firstLineChars="200"/>
    </w:pPr>
    <w:rPr>
      <w:sz w:val="24"/>
    </w:rPr>
  </w:style>
  <w:style w:type="paragraph" w:styleId="11">
    <w:name w:val="List"/>
    <w:basedOn w:val="1"/>
    <w:unhideWhenUsed/>
    <w:qFormat/>
    <w:uiPriority w:val="0"/>
    <w:pPr>
      <w:spacing w:line="240" w:lineRule="auto"/>
      <w:ind w:left="0" w:firstLine="0" w:firstLineChars="0"/>
      <w:jc w:val="center"/>
    </w:pPr>
    <w:rPr>
      <w:sz w:val="21"/>
    </w:rPr>
  </w:style>
  <w:style w:type="paragraph" w:styleId="12">
    <w:name w:val="toc 3"/>
    <w:basedOn w:val="1"/>
    <w:next w:val="1"/>
    <w:unhideWhenUsed/>
    <w:qFormat/>
    <w:uiPriority w:val="39"/>
    <w:pPr>
      <w:ind w:left="840" w:leftChars="400"/>
    </w:pPr>
  </w:style>
  <w:style w:type="paragraph" w:styleId="13">
    <w:name w:val="Plain Text"/>
    <w:basedOn w:val="1"/>
    <w:unhideWhenUsed/>
    <w:qFormat/>
    <w:uiPriority w:val="0"/>
    <w:rPr>
      <w:rFonts w:ascii="宋体" w:hAnsi="Courier New"/>
      <w:sz w:val="28"/>
      <w:szCs w:val="20"/>
    </w:rPr>
  </w:style>
  <w:style w:type="paragraph" w:styleId="14">
    <w:name w:val="Body Text Indent 2"/>
    <w:basedOn w:val="1"/>
    <w:next w:val="15"/>
    <w:qFormat/>
    <w:uiPriority w:val="0"/>
    <w:pPr>
      <w:spacing w:after="120" w:line="480" w:lineRule="auto"/>
      <w:ind w:left="420" w:leftChars="200"/>
    </w:p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Balloon Text"/>
    <w:basedOn w:val="1"/>
    <w:qFormat/>
    <w:uiPriority w:val="0"/>
    <w:rPr>
      <w:sz w:val="18"/>
      <w:szCs w:val="18"/>
    </w:rPr>
  </w:style>
  <w:style w:type="paragraph" w:styleId="17">
    <w:name w:val="footer"/>
    <w:basedOn w:val="1"/>
    <w:qFormat/>
    <w:uiPriority w:val="0"/>
    <w:pPr>
      <w:tabs>
        <w:tab w:val="center" w:pos="4153"/>
        <w:tab w:val="right" w:pos="8306"/>
      </w:tabs>
    </w:pPr>
    <w:rPr>
      <w:rFonts w:ascii="Tahoma" w:hAnsi="Tahoma"/>
      <w:sz w:val="18"/>
      <w:szCs w:val="18"/>
    </w:rPr>
  </w:style>
  <w:style w:type="paragraph" w:styleId="18">
    <w:name w:val="index heading"/>
    <w:basedOn w:val="1"/>
    <w:next w:val="19"/>
    <w:qFormat/>
    <w:uiPriority w:val="0"/>
    <w:rPr>
      <w:szCs w:val="20"/>
    </w:rPr>
  </w:style>
  <w:style w:type="paragraph" w:styleId="19">
    <w:name w:val="index 1"/>
    <w:basedOn w:val="1"/>
    <w:next w:val="1"/>
    <w:qFormat/>
    <w:uiPriority w:val="0"/>
    <w:pPr>
      <w:spacing w:line="320" w:lineRule="exact"/>
      <w:jc w:val="center"/>
    </w:pPr>
    <w:rPr>
      <w:color w:val="000000"/>
      <w:szCs w:val="21"/>
    </w:rPr>
  </w:style>
  <w:style w:type="paragraph" w:styleId="20">
    <w:name w:val="Body Text Indent 3"/>
    <w:basedOn w:val="1"/>
    <w:qFormat/>
    <w:uiPriority w:val="0"/>
    <w:pPr>
      <w:spacing w:after="120" w:afterLines="0"/>
      <w:ind w:left="420" w:leftChars="200"/>
    </w:pPr>
    <w:rPr>
      <w:rFonts w:ascii="Times New Roman" w:hAnsi="Times New Roman" w:eastAsia="宋体" w:cs="Times New Roman"/>
      <w:sz w:val="16"/>
      <w:szCs w:val="20"/>
    </w:rPr>
  </w:style>
  <w:style w:type="paragraph" w:styleId="2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2">
    <w:name w:val="Body Text First Indent"/>
    <w:basedOn w:val="9"/>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paragraph" w:styleId="23">
    <w:name w:val="Body Text First Indent 2"/>
    <w:basedOn w:val="10"/>
    <w:next w:val="9"/>
    <w:unhideWhenUsed/>
    <w:qFormat/>
    <w:uiPriority w:val="0"/>
    <w:pPr>
      <w:ind w:firstLine="420" w:firstLineChars="2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7">
    <w:name w:val="Table List 3"/>
    <w:basedOn w:val="24"/>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paragraph" w:customStyle="1" w:styleId="29">
    <w:name w:val=" Char"/>
    <w:basedOn w:val="1"/>
    <w:link w:val="28"/>
    <w:qFormat/>
    <w:uiPriority w:val="0"/>
    <w:rPr>
      <w:rFonts w:ascii="Times New Roman" w:hAnsi="Times New Roman" w:eastAsia="宋体" w:cs="Times New Roman"/>
      <w:sz w:val="28"/>
      <w:szCs w:val="24"/>
    </w:rPr>
  </w:style>
  <w:style w:type="character" w:styleId="30">
    <w:name w:val="Strong"/>
    <w:basedOn w:val="28"/>
    <w:qFormat/>
    <w:uiPriority w:val="0"/>
    <w:rPr>
      <w:b/>
    </w:rPr>
  </w:style>
  <w:style w:type="character" w:styleId="31">
    <w:name w:val="page number"/>
    <w:basedOn w:val="28"/>
    <w:qFormat/>
    <w:uiPriority w:val="0"/>
  </w:style>
  <w:style w:type="character" w:styleId="32">
    <w:name w:val="Hyperlink"/>
    <w:basedOn w:val="28"/>
    <w:qFormat/>
    <w:uiPriority w:val="0"/>
    <w:rPr>
      <w:color w:val="3366CC"/>
      <w:szCs w:val="20"/>
      <w:u w:val="single"/>
    </w:rPr>
  </w:style>
  <w:style w:type="character" w:styleId="33">
    <w:name w:val="annotation reference"/>
    <w:qFormat/>
    <w:uiPriority w:val="0"/>
    <w:rPr>
      <w:sz w:val="21"/>
    </w:rPr>
  </w:style>
  <w:style w:type="paragraph" w:customStyle="1" w:styleId="34">
    <w:name w:val=" Char Char Char Char"/>
    <w:basedOn w:val="1"/>
    <w:link w:val="28"/>
    <w:qFormat/>
    <w:uiPriority w:val="0"/>
    <w:rPr>
      <w:szCs w:val="20"/>
    </w:rPr>
  </w:style>
  <w:style w:type="paragraph" w:customStyle="1" w:styleId="35">
    <w:name w:val="表格文字"/>
    <w:basedOn w:val="22"/>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paragraph" w:customStyle="1" w:styleId="36">
    <w:name w:val="列出段落"/>
    <w:basedOn w:val="1"/>
    <w:qFormat/>
    <w:uiPriority w:val="0"/>
    <w:pPr>
      <w:widowControl w:val="0"/>
      <w:adjustRightInd/>
      <w:snapToGrid/>
      <w:spacing w:after="0" w:afterLines="0"/>
      <w:ind w:firstLine="420" w:firstLineChars="200"/>
      <w:jc w:val="both"/>
    </w:pPr>
    <w:rPr>
      <w:rFonts w:ascii="Times New Roman" w:hAnsi="Times New Roman" w:eastAsia="宋体"/>
      <w:kern w:val="2"/>
      <w:sz w:val="21"/>
      <w:szCs w:val="20"/>
    </w:rPr>
  </w:style>
  <w:style w:type="character" w:customStyle="1" w:styleId="37">
    <w:name w:val="标题 1 Char"/>
    <w:link w:val="3"/>
    <w:qFormat/>
    <w:uiPriority w:val="9"/>
    <w:rPr>
      <w:b/>
      <w:bCs/>
      <w:sz w:val="28"/>
    </w:rPr>
  </w:style>
  <w:style w:type="character" w:customStyle="1" w:styleId="38">
    <w:name w:val="font31"/>
    <w:basedOn w:val="28"/>
    <w:qFormat/>
    <w:uiPriority w:val="0"/>
    <w:rPr>
      <w:rFonts w:hint="default" w:ascii="Times New Roman" w:hAnsi="Times New Roman" w:cs="Times New Roman"/>
      <w:color w:val="000000"/>
      <w:sz w:val="24"/>
      <w:szCs w:val="24"/>
      <w:u w:val="none"/>
    </w:rPr>
  </w:style>
  <w:style w:type="character" w:customStyle="1" w:styleId="39">
    <w:name w:val="font21"/>
    <w:basedOn w:val="28"/>
    <w:qFormat/>
    <w:uiPriority w:val="0"/>
    <w:rPr>
      <w:rFonts w:hint="eastAsia" w:ascii="宋体" w:hAnsi="宋体" w:eastAsia="宋体" w:cs="宋体"/>
      <w:color w:val="000000"/>
      <w:sz w:val="24"/>
      <w:szCs w:val="24"/>
      <w:u w:val="none"/>
    </w:rPr>
  </w:style>
  <w:style w:type="character" w:customStyle="1" w:styleId="40">
    <w:name w:val="font11"/>
    <w:basedOn w:val="28"/>
    <w:qFormat/>
    <w:uiPriority w:val="0"/>
    <w:rPr>
      <w:rFonts w:hint="default" w:ascii="Times New Roman" w:hAnsi="Times New Roman" w:cs="Times New Roman"/>
      <w:color w:val="000000"/>
      <w:sz w:val="24"/>
      <w:szCs w:val="24"/>
      <w:u w:val="none"/>
      <w:vertAlign w:val="superscript"/>
    </w:rPr>
  </w:style>
  <w:style w:type="paragraph" w:customStyle="1" w:styleId="41">
    <w:name w:val="表格内容"/>
    <w:basedOn w:val="13"/>
    <w:next w:val="1"/>
    <w:qFormat/>
    <w:uiPriority w:val="0"/>
    <w:pPr>
      <w:spacing w:line="240" w:lineRule="auto"/>
      <w:ind w:firstLine="0" w:firstLineChars="0"/>
      <w:jc w:val="center"/>
    </w:pPr>
    <w:rPr>
      <w:sz w:val="21"/>
    </w:rPr>
  </w:style>
  <w:style w:type="paragraph" w:customStyle="1" w:styleId="42">
    <w:name w:val="新建正文"/>
    <w:basedOn w:val="1"/>
    <w:qFormat/>
    <w:uiPriority w:val="0"/>
    <w:pPr>
      <w:spacing w:line="500" w:lineRule="exact"/>
      <w:ind w:firstLine="200" w:firstLineChars="200"/>
    </w:pPr>
    <w:rPr>
      <w:rFonts w:eastAsia="宋体"/>
      <w:sz w:val="24"/>
    </w:rPr>
  </w:style>
  <w:style w:type="paragraph" w:customStyle="1" w:styleId="43">
    <w:name w:val="报告"/>
    <w:basedOn w:val="1"/>
    <w:qFormat/>
    <w:uiPriority w:val="0"/>
    <w:pPr>
      <w:adjustRightInd w:val="0"/>
      <w:spacing w:line="360" w:lineRule="auto"/>
      <w:ind w:firstLine="505"/>
      <w:textAlignment w:val="center"/>
    </w:pPr>
    <w:rPr>
      <w:rFonts w:ascii="TimesNewRoman" w:hAnsi="TimesNewRoman"/>
      <w:kern w:val="0"/>
      <w:sz w:val="24"/>
      <w:szCs w:val="20"/>
    </w:rPr>
  </w:style>
  <w:style w:type="paragraph" w:customStyle="1" w:styleId="44">
    <w:name w:val="WPSOffice手动目录 1"/>
    <w:qFormat/>
    <w:uiPriority w:val="0"/>
    <w:pPr>
      <w:ind w:leftChars="0"/>
    </w:pPr>
    <w:rPr>
      <w:rFonts w:asciiTheme="minorHAnsi" w:hAnsiTheme="minorHAnsi" w:eastAsiaTheme="minorEastAsia" w:cstheme="minorBidi"/>
      <w:sz w:val="20"/>
      <w:szCs w:val="20"/>
    </w:rPr>
  </w:style>
  <w:style w:type="character" w:customStyle="1" w:styleId="45">
    <w:name w:val="page number"/>
    <w:basedOn w:val="28"/>
    <w:qFormat/>
    <w:uiPriority w:val="0"/>
  </w:style>
  <w:style w:type="paragraph" w:customStyle="1" w:styleId="46">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7">
    <w:name w:val="Table Paragraph"/>
    <w:basedOn w:val="1"/>
    <w:next w:val="6"/>
    <w:qFormat/>
    <w:uiPriority w:val="1"/>
    <w:rPr>
      <w:rFonts w:ascii="宋体" w:hAnsi="宋体" w:eastAsia="宋体" w:cs="宋体"/>
      <w:lang w:val="zh-CN" w:eastAsia="zh-CN" w:bidi="zh-CN"/>
    </w:rPr>
  </w:style>
  <w:style w:type="paragraph" w:styleId="48">
    <w:name w:val="List Paragraph"/>
    <w:basedOn w:val="1"/>
    <w:qFormat/>
    <w:uiPriority w:val="1"/>
    <w:pPr>
      <w:ind w:left="1356" w:hanging="601"/>
    </w:pPr>
    <w:rPr>
      <w:rFonts w:ascii="宋体" w:hAnsi="宋体" w:eastAsia="宋体" w:cs="宋体"/>
      <w:lang w:val="zh-CN" w:eastAsia="zh-CN" w:bidi="zh-CN"/>
    </w:rPr>
  </w:style>
  <w:style w:type="paragraph" w:customStyle="1" w:styleId="49">
    <w:name w:val="报告表格"/>
    <w:basedOn w:val="1"/>
    <w:qFormat/>
    <w:uiPriority w:val="0"/>
    <w:pPr>
      <w:autoSpaceDE w:val="0"/>
      <w:autoSpaceDN w:val="0"/>
      <w:adjustRightInd w:val="0"/>
      <w:spacing w:before="40" w:beforeLines="0" w:beforeAutospacing="0" w:after="40" w:afterLines="0" w:afterAutospacing="0"/>
      <w:jc w:val="center"/>
      <w:textAlignment w:val="baseline"/>
    </w:pPr>
    <w:rPr>
      <w:kern w:val="0"/>
    </w:rPr>
  </w:style>
  <w:style w:type="character" w:customStyle="1" w:styleId="50">
    <w:name w:val="样式 宋体 四号"/>
    <w:qFormat/>
    <w:uiPriority w:val="0"/>
    <w:rPr>
      <w:rFonts w:ascii="宋体" w:hAnsi="宋体" w:eastAsia="宋体"/>
      <w:sz w:val="24"/>
      <w:szCs w:val="24"/>
    </w:rPr>
  </w:style>
  <w:style w:type="paragraph" w:customStyle="1" w:styleId="51">
    <w:name w:val="样式2"/>
    <w:basedOn w:val="1"/>
    <w:qFormat/>
    <w:uiPriority w:val="0"/>
    <w:pPr>
      <w:adjustRightInd w:val="0"/>
      <w:ind w:left="170"/>
      <w:jc w:val="left"/>
      <w:textAlignment w:val="baseline"/>
    </w:pPr>
    <w:rPr>
      <w:b/>
      <w:kern w:val="0"/>
      <w:sz w:val="24"/>
    </w:rPr>
  </w:style>
  <w:style w:type="paragraph" w:customStyle="1" w:styleId="52">
    <w:name w:val="样式17"/>
    <w:basedOn w:val="1"/>
    <w:qFormat/>
    <w:uiPriority w:val="0"/>
    <w:pPr>
      <w:spacing w:line="360" w:lineRule="auto"/>
      <w:jc w:val="center"/>
    </w:pPr>
    <w:rPr>
      <w:rFonts w:ascii="Calibri" w:hAnsi="Calibri"/>
      <w:szCs w:val="21"/>
    </w:rPr>
  </w:style>
  <w:style w:type="paragraph" w:customStyle="1" w:styleId="53">
    <w:name w:val="表格2"/>
    <w:basedOn w:val="1"/>
    <w:qFormat/>
    <w:uiPriority w:val="0"/>
    <w:pPr>
      <w:widowControl w:val="0"/>
      <w:adjustRightInd/>
      <w:snapToGrid/>
      <w:spacing w:after="0" w:line="360" w:lineRule="atLeast"/>
      <w:jc w:val="center"/>
    </w:pPr>
    <w:rPr>
      <w:rFonts w:ascii="Times New Roman" w:hAnsi="Times New Roman" w:eastAsia="宋体"/>
      <w:kern w:val="2"/>
      <w:sz w:val="21"/>
      <w:szCs w:val="21"/>
    </w:rPr>
  </w:style>
  <w:style w:type="paragraph" w:customStyle="1" w:styleId="54">
    <w:name w:val="表格"/>
    <w:basedOn w:val="11"/>
    <w:qFormat/>
    <w:uiPriority w:val="0"/>
    <w:pPr>
      <w:adjustRightInd w:val="0"/>
      <w:jc w:val="center"/>
      <w:textAlignment w:val="baseline"/>
    </w:pPr>
    <w:rPr>
      <w:rFonts w:ascii="宋体"/>
      <w:spacing w:val="4"/>
      <w:w w:val="90"/>
      <w:kern w:val="0"/>
      <w:sz w:val="24"/>
    </w:rPr>
  </w:style>
  <w:style w:type="paragraph" w:customStyle="1" w:styleId="55">
    <w:name w:val="表格文字2"/>
    <w:basedOn w:val="1"/>
    <w:qFormat/>
    <w:uiPriority w:val="0"/>
    <w:pPr>
      <w:adjustRightInd w:val="0"/>
      <w:spacing w:before="60" w:beforeLines="0"/>
      <w:jc w:val="center"/>
      <w:textAlignment w:val="baseline"/>
    </w:pPr>
    <w:rPr>
      <w:rFonts w:ascii="宋体"/>
      <w:kern w:val="0"/>
      <w:sz w:val="24"/>
    </w:rPr>
  </w:style>
  <w:style w:type="character" w:customStyle="1" w:styleId="56">
    <w:name w:val="apple-style-span"/>
    <w:qFormat/>
    <w:uiPriority w:val="0"/>
  </w:style>
  <w:style w:type="paragraph" w:customStyle="1" w:styleId="57">
    <w:name w:val="列出段落1"/>
    <w:basedOn w:val="1"/>
    <w:qFormat/>
    <w:uiPriority w:val="99"/>
    <w:pPr>
      <w:ind w:firstLine="420" w:firstLineChars="200"/>
      <w:jc w:val="left"/>
    </w:pPr>
    <w:rPr>
      <w:szCs w:val="24"/>
    </w:rPr>
  </w:style>
  <w:style w:type="character" w:customStyle="1" w:styleId="58">
    <w:name w:val="15"/>
    <w:basedOn w:val="28"/>
    <w:qFormat/>
    <w:uiPriority w:val="0"/>
    <w:rPr>
      <w:rFonts w:hint="default" w:ascii="Times New Roman" w:hAnsi="Times New Roman" w:cs="Times New Roman"/>
      <w:sz w:val="20"/>
      <w:szCs w:val="20"/>
    </w:rPr>
  </w:style>
  <w:style w:type="paragraph" w:customStyle="1" w:styleId="59">
    <w:name w:val="Body text|1"/>
    <w:basedOn w:val="1"/>
    <w:qFormat/>
    <w:uiPriority w:val="0"/>
    <w:pPr>
      <w:widowControl w:val="0"/>
      <w:shd w:val="clear" w:color="auto" w:fill="auto"/>
      <w:spacing w:line="408" w:lineRule="auto"/>
      <w:ind w:firstLine="400"/>
    </w:pPr>
    <w:rPr>
      <w:rFonts w:ascii="宋体" w:hAnsi="宋体" w:eastAsia="宋体" w:cs="宋体"/>
      <w:sz w:val="19"/>
      <w:szCs w:val="19"/>
      <w:u w:val="none"/>
      <w:shd w:val="clear" w:color="auto" w:fill="auto"/>
      <w:lang w:val="zh-CN" w:eastAsia="zh-CN" w:bidi="zh-CN"/>
    </w:rPr>
  </w:style>
  <w:style w:type="paragraph" w:customStyle="1" w:styleId="60">
    <w:name w:val="表头何昌泽"/>
    <w:basedOn w:val="61"/>
    <w:qFormat/>
    <w:uiPriority w:val="0"/>
    <w:pPr>
      <w:widowControl/>
      <w:adjustRightInd w:val="0"/>
    </w:pPr>
    <w:rPr>
      <w:rFonts w:eastAsia="Times New Roman"/>
      <w:b/>
      <w:sz w:val="21"/>
      <w:szCs w:val="21"/>
    </w:rPr>
  </w:style>
  <w:style w:type="paragraph" w:customStyle="1" w:styleId="61">
    <w:name w:val="1表格"/>
    <w:basedOn w:val="1"/>
    <w:qFormat/>
    <w:uiPriority w:val="99"/>
    <w:pPr>
      <w:snapToGrid w:val="0"/>
      <w:spacing w:line="160" w:lineRule="atLeast"/>
      <w:jc w:val="center"/>
    </w:pPr>
    <w:rPr>
      <w:rFonts w:eastAsia="仿宋_GB2312"/>
      <w:szCs w:val="20"/>
    </w:rPr>
  </w:style>
  <w:style w:type="paragraph" w:customStyle="1" w:styleId="62">
    <w:name w:val="表格（新）"/>
    <w:basedOn w:val="63"/>
    <w:qFormat/>
    <w:uiPriority w:val="0"/>
    <w:rPr>
      <w:rFonts w:hAnsi="宋体" w:eastAsia="宋体"/>
    </w:rPr>
  </w:style>
  <w:style w:type="paragraph" w:customStyle="1" w:styleId="63">
    <w:name w:val="表格何昌泽"/>
    <w:basedOn w:val="60"/>
    <w:qFormat/>
    <w:uiPriority w:val="0"/>
  </w:style>
  <w:style w:type="paragraph" w:customStyle="1" w:styleId="64">
    <w:name w:val="应填表格"/>
    <w:basedOn w:val="1"/>
    <w:qFormat/>
    <w:uiPriority w:val="0"/>
    <w:pPr>
      <w:adjustRightInd w:val="0"/>
      <w:spacing w:before="40" w:after="40"/>
      <w:jc w:val="left"/>
      <w:textAlignment w:val="baseline"/>
    </w:pPr>
    <w:rPr>
      <w:kern w:val="0"/>
      <w:szCs w:val="20"/>
    </w:rPr>
  </w:style>
  <w:style w:type="paragraph" w:customStyle="1" w:styleId="65">
    <w:name w:val="A正文"/>
    <w:basedOn w:val="1"/>
    <w:qFormat/>
    <w:uiPriority w:val="0"/>
    <w:pPr>
      <w:autoSpaceDE w:val="0"/>
      <w:autoSpaceDN w:val="0"/>
      <w:adjustRightInd w:val="0"/>
      <w:spacing w:line="360" w:lineRule="auto"/>
      <w:ind w:firstLine="200" w:firstLineChars="200"/>
    </w:pPr>
    <w:rPr>
      <w:rFonts w:eastAsia="宋体"/>
    </w:rPr>
  </w:style>
  <w:style w:type="paragraph" w:customStyle="1" w:styleId="66">
    <w:name w:val="A章小标题"/>
    <w:basedOn w:val="1"/>
    <w:next w:val="1"/>
    <w:qFormat/>
    <w:uiPriority w:val="0"/>
    <w:pPr>
      <w:spacing w:line="360" w:lineRule="auto"/>
      <w:ind w:firstLine="200" w:firstLineChars="200"/>
    </w:pPr>
    <w:rPr>
      <w:b/>
    </w:rPr>
  </w:style>
  <w:style w:type="paragraph" w:customStyle="1" w:styleId="67">
    <w:name w:val="A章标题"/>
    <w:basedOn w:val="1"/>
    <w:qFormat/>
    <w:uiPriority w:val="0"/>
    <w:pPr>
      <w:spacing w:line="360" w:lineRule="auto"/>
    </w:pPr>
    <w:rPr>
      <w:b/>
      <w:bCs/>
      <w:sz w:val="28"/>
      <w:szCs w:val="28"/>
    </w:rPr>
  </w:style>
  <w:style w:type="paragraph" w:customStyle="1" w:styleId="68">
    <w:name w:val="表"/>
    <w:basedOn w:val="1"/>
    <w:qFormat/>
    <w:uiPriority w:val="0"/>
    <w:pPr>
      <w:spacing w:line="240" w:lineRule="exact"/>
    </w:pPr>
    <w:rPr>
      <w:rFonts w:ascii="仿宋_GB2312" w:hAnsi="宋体" w:eastAsia="仿宋_GB2312"/>
      <w:sz w:val="18"/>
      <w:szCs w:val="18"/>
    </w:rPr>
  </w:style>
  <w:style w:type="paragraph" w:customStyle="1" w:styleId="69">
    <w:name w:val="表文lcc"/>
    <w:basedOn w:val="1"/>
    <w:next w:val="1"/>
    <w:qFormat/>
    <w:uiPriority w:val="0"/>
    <w:pPr>
      <w:jc w:val="center"/>
    </w:pPr>
    <w:rPr>
      <w:kern w:val="0"/>
      <w:sz w:val="20"/>
      <w:szCs w:val="18"/>
    </w:rPr>
  </w:style>
  <w:style w:type="paragraph" w:customStyle="1" w:styleId="70">
    <w:name w:val="正文lcc"/>
    <w:basedOn w:val="1"/>
    <w:qFormat/>
    <w:uiPriority w:val="0"/>
    <w:pPr>
      <w:spacing w:line="360" w:lineRule="auto"/>
      <w:ind w:firstLine="200" w:firstLineChars="200"/>
    </w:pPr>
    <w:rPr>
      <w:rFonts w:eastAsia="Times New Roman"/>
    </w:rPr>
  </w:style>
  <w:style w:type="paragraph" w:customStyle="1" w:styleId="71">
    <w:name w:val="列出段落11"/>
    <w:basedOn w:val="1"/>
    <w:qFormat/>
    <w:uiPriority w:val="34"/>
    <w:pPr>
      <w:spacing w:line="360" w:lineRule="auto"/>
      <w:ind w:firstLine="420" w:firstLineChars="200"/>
    </w:pPr>
    <w:rPr>
      <w:rFonts w:cs="黑体"/>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大宝</cp:lastModifiedBy>
  <cp:lastPrinted>2019-01-16T09:09:00Z</cp:lastPrinted>
  <dcterms:modified xsi:type="dcterms:W3CDTF">2022-01-18T00:29:02Z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1B051A79171A48F1AC57D75F1C9847AF</vt:lpwstr>
  </property>
</Properties>
</file>